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3FE9"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06BAAA35"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6DADA12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22B39A11"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1D0B90D"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22C16F20"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85A4497"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1E5C04D2"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4D76E99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27FCECBC"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25E8413C" w14:textId="2D12B360"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t>Forex Project</w:t>
      </w:r>
    </w:p>
    <w:p w14:paraId="42023647"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D31313">
        <w:rPr>
          <w:rFonts w:ascii="Times New Roman" w:eastAsia="Times New Roman" w:hAnsi="Times New Roman" w:cs="Times New Roman"/>
          <w:color w:val="000000" w:themeColor="text1"/>
          <w:sz w:val="24"/>
          <w:szCs w:val="24"/>
          <w:lang w:val="en-US" w:eastAsia="en-KE"/>
        </w:rPr>
        <w:t>Name</w:t>
      </w:r>
    </w:p>
    <w:p w14:paraId="741A0F77"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D31313">
        <w:rPr>
          <w:rFonts w:ascii="Times New Roman" w:eastAsia="Times New Roman" w:hAnsi="Times New Roman" w:cs="Times New Roman"/>
          <w:color w:val="000000" w:themeColor="text1"/>
          <w:sz w:val="24"/>
          <w:szCs w:val="24"/>
          <w:lang w:val="en-US" w:eastAsia="en-KE"/>
        </w:rPr>
        <w:t>Institution</w:t>
      </w:r>
    </w:p>
    <w:p w14:paraId="67655435" w14:textId="77777777" w:rsidR="00BB0358" w:rsidRPr="00D31313"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D31313">
        <w:rPr>
          <w:rFonts w:ascii="Times New Roman" w:eastAsia="Times New Roman" w:hAnsi="Times New Roman" w:cs="Times New Roman"/>
          <w:color w:val="000000" w:themeColor="text1"/>
          <w:sz w:val="24"/>
          <w:szCs w:val="24"/>
          <w:lang w:val="en-US" w:eastAsia="en-KE"/>
        </w:rPr>
        <w:t>Date</w:t>
      </w:r>
    </w:p>
    <w:p w14:paraId="7C55A656"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E63E6FC"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1C628928"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6FCF6F0"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87D127D"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0946913B"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37B117C3"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57DF8C5E"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0733949"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628901A4"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4D59A12F" w14:textId="77777777" w:rsidR="00F531FF" w:rsidRPr="00D31313" w:rsidRDefault="00F531FF"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2D1A43ED" w14:textId="3D10ECCF"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lastRenderedPageBreak/>
        <w:t>Forex Project</w:t>
      </w:r>
    </w:p>
    <w:p w14:paraId="63ACA38D" w14:textId="596D414B"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I chose to use the Japanese Yen (JPY) used in Japan for the currency speculation project. JPY is the third most commonly traded currency in the FOREX market after the USD and Euro. Japanese Yen exists in four notes (bills) denomination and six coins denomination. After USD, Euro and British Pound, the Japanese Yen is used as a reserve currency. Japan's finance minister announced on April 9, 2019 that newly redesigned notes would be used from 2024. However, the 2000 JPY was not redesigned due to its low circulation</w:t>
      </w:r>
      <w:r w:rsidR="00724C46" w:rsidRPr="00D31313">
        <w:rPr>
          <w:rFonts w:ascii="Times New Roman" w:eastAsia="Times New Roman" w:hAnsi="Times New Roman" w:cs="Times New Roman"/>
          <w:color w:val="000000" w:themeColor="text1"/>
          <w:sz w:val="24"/>
          <w:szCs w:val="24"/>
          <w:lang w:val="en-US" w:eastAsia="en-KE"/>
        </w:rPr>
        <w:t xml:space="preserve"> (</w:t>
      </w:r>
      <w:r w:rsidR="00724C46" w:rsidRPr="00BB0358">
        <w:rPr>
          <w:rFonts w:ascii="Times New Roman" w:eastAsia="Times New Roman" w:hAnsi="Times New Roman" w:cs="Times New Roman"/>
          <w:color w:val="000000" w:themeColor="text1"/>
          <w:sz w:val="24"/>
          <w:szCs w:val="24"/>
          <w:lang w:val="en-US" w:eastAsia="en-KE"/>
        </w:rPr>
        <w:t>Chaudhuri</w:t>
      </w:r>
      <w:r w:rsidR="00724C46" w:rsidRPr="00D31313">
        <w:rPr>
          <w:rFonts w:ascii="Times New Roman" w:eastAsia="Times New Roman" w:hAnsi="Times New Roman" w:cs="Times New Roman"/>
          <w:color w:val="000000" w:themeColor="text1"/>
          <w:sz w:val="24"/>
          <w:szCs w:val="24"/>
          <w:lang w:val="en-US" w:eastAsia="en-KE"/>
        </w:rPr>
        <w:t>, 2018)</w:t>
      </w:r>
      <w:r w:rsidRPr="00BB0358">
        <w:rPr>
          <w:rFonts w:ascii="Times New Roman" w:eastAsia="Times New Roman" w:hAnsi="Times New Roman" w:cs="Times New Roman"/>
          <w:color w:val="000000" w:themeColor="text1"/>
          <w:sz w:val="24"/>
          <w:szCs w:val="24"/>
          <w:lang w:val="en-US" w:eastAsia="en-KE"/>
        </w:rPr>
        <w:t>. </w:t>
      </w:r>
    </w:p>
    <w:p w14:paraId="710B4ADC"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I considered the Japanese Yen and I had predicted that it would appreciate against the dollar between the period April 15, 2021 and May 6, 2021. My prediction on Japanese Yen appreciation was based on the extensive and advanced technology in producing machines, motor vehicles, chemicals and electronics, making Japan have a solid industrial base. Japan is also a large fish exporting country and has a low unemployment rate, hence having a higher possibility of currency appreciation. I visited Japan to learn more about the country due to its developed economy and great culture to help me carry out the project. Due to the covid-19 pandemic that has hit most countries worldwide where the U.S. has been amongst the most affected nations, I was confident that the Japanese Yen would appreciate against the U.S Dollar. The JPY would appreciate because Japan was not affected much compared to the U.S. </w:t>
      </w:r>
    </w:p>
    <w:p w14:paraId="5943D6AD" w14:textId="5A63DC41"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 xml:space="preserve">I took a long position in the Japanese Yen since I believed that it would appreciate within the period. I used my $1,000,000 to buy the JPY to sell it on </w:t>
      </w:r>
      <w:r w:rsidR="00CD08BB">
        <w:rPr>
          <w:rFonts w:ascii="Times New Roman" w:eastAsia="Times New Roman" w:hAnsi="Times New Roman" w:cs="Times New Roman"/>
          <w:color w:val="000000" w:themeColor="text1"/>
          <w:sz w:val="24"/>
          <w:szCs w:val="24"/>
          <w:lang w:val="en-US" w:eastAsia="en-KE"/>
        </w:rPr>
        <w:t>April</w:t>
      </w:r>
      <w:r w:rsidRPr="00BB0358">
        <w:rPr>
          <w:rFonts w:ascii="Times New Roman" w:eastAsia="Times New Roman" w:hAnsi="Times New Roman" w:cs="Times New Roman"/>
          <w:color w:val="000000" w:themeColor="text1"/>
          <w:sz w:val="24"/>
          <w:szCs w:val="24"/>
          <w:lang w:val="en-US" w:eastAsia="en-KE"/>
        </w:rPr>
        <w:t xml:space="preserve"> </w:t>
      </w:r>
      <w:r w:rsidR="00CD08BB">
        <w:rPr>
          <w:rFonts w:ascii="Times New Roman" w:eastAsia="Times New Roman" w:hAnsi="Times New Roman" w:cs="Times New Roman"/>
          <w:color w:val="000000" w:themeColor="text1"/>
          <w:sz w:val="24"/>
          <w:szCs w:val="24"/>
          <w:lang w:val="en-US" w:eastAsia="en-KE"/>
        </w:rPr>
        <w:t>15</w:t>
      </w:r>
      <w:r w:rsidRPr="00BB0358">
        <w:rPr>
          <w:rFonts w:ascii="Times New Roman" w:eastAsia="Times New Roman" w:hAnsi="Times New Roman" w:cs="Times New Roman"/>
          <w:color w:val="000000" w:themeColor="text1"/>
          <w:sz w:val="24"/>
          <w:szCs w:val="24"/>
          <w:lang w:val="en-US" w:eastAsia="en-KE"/>
        </w:rPr>
        <w:t>, 2021 and gain profits from the transaction after 2</w:t>
      </w:r>
      <w:r w:rsidR="00CD08BB">
        <w:rPr>
          <w:rFonts w:ascii="Times New Roman" w:eastAsia="Times New Roman" w:hAnsi="Times New Roman" w:cs="Times New Roman"/>
          <w:color w:val="000000" w:themeColor="text1"/>
          <w:sz w:val="24"/>
          <w:szCs w:val="24"/>
          <w:lang w:val="en-US" w:eastAsia="en-KE"/>
        </w:rPr>
        <w:t>2</w:t>
      </w:r>
      <w:r w:rsidRPr="00BB0358">
        <w:rPr>
          <w:rFonts w:ascii="Times New Roman" w:eastAsia="Times New Roman" w:hAnsi="Times New Roman" w:cs="Times New Roman"/>
          <w:color w:val="000000" w:themeColor="text1"/>
          <w:sz w:val="24"/>
          <w:szCs w:val="24"/>
          <w:lang w:val="en-US" w:eastAsia="en-KE"/>
        </w:rPr>
        <w:t xml:space="preserve"> days. The table below shows the purchase transaction made before the period. Assuming that all the other transactions such as interest due and currency exchange charges are ignored, the total amount received from $1,000,000 is ¥ 108,729,100.</w:t>
      </w:r>
    </w:p>
    <w:p w14:paraId="1A8F9553" w14:textId="5B73F143"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lastRenderedPageBreak/>
        <w:t>The exchange rate between U.S. Dollar and the Japanese Yen was monitored throughout the 2</w:t>
      </w:r>
      <w:r w:rsidR="00CD08BB">
        <w:rPr>
          <w:rFonts w:ascii="Times New Roman" w:eastAsia="Times New Roman" w:hAnsi="Times New Roman" w:cs="Times New Roman"/>
          <w:color w:val="000000" w:themeColor="text1"/>
          <w:sz w:val="24"/>
          <w:szCs w:val="24"/>
          <w:lang w:val="en-US" w:eastAsia="en-KE"/>
        </w:rPr>
        <w:t>2</w:t>
      </w:r>
      <w:r w:rsidRPr="00BB0358">
        <w:rPr>
          <w:rFonts w:ascii="Times New Roman" w:eastAsia="Times New Roman" w:hAnsi="Times New Roman" w:cs="Times New Roman"/>
          <w:color w:val="000000" w:themeColor="text1"/>
          <w:sz w:val="24"/>
          <w:szCs w:val="24"/>
          <w:lang w:val="en-US" w:eastAsia="en-KE"/>
        </w:rPr>
        <w:t xml:space="preserve"> days. The table below details the initial transactions</w:t>
      </w:r>
    </w:p>
    <w:p w14:paraId="02F39B3A" w14:textId="21F871AB" w:rsidR="00550138" w:rsidRPr="00D31313" w:rsidRDefault="00BF02C4" w:rsidP="00F21B27">
      <w:pPr>
        <w:spacing w:after="0"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 xml:space="preserve">The exchange rate between </w:t>
      </w:r>
      <w:r w:rsidR="003F0E34" w:rsidRPr="00D31313">
        <w:rPr>
          <w:rFonts w:ascii="Times New Roman" w:hAnsi="Times New Roman" w:cs="Times New Roman"/>
          <w:color w:val="000000" w:themeColor="text1"/>
          <w:sz w:val="24"/>
          <w:szCs w:val="24"/>
          <w:lang w:val="en-US"/>
        </w:rPr>
        <w:t>U.S. Dollar and Japanese Yen was monitored throughout the 2</w:t>
      </w:r>
      <w:r w:rsidR="00CD08BB">
        <w:rPr>
          <w:rFonts w:ascii="Times New Roman" w:hAnsi="Times New Roman" w:cs="Times New Roman"/>
          <w:color w:val="000000" w:themeColor="text1"/>
          <w:sz w:val="24"/>
          <w:szCs w:val="24"/>
          <w:lang w:val="en-US"/>
        </w:rPr>
        <w:t>2</w:t>
      </w:r>
      <w:r w:rsidR="003F0E34" w:rsidRPr="00D31313">
        <w:rPr>
          <w:rFonts w:ascii="Times New Roman" w:hAnsi="Times New Roman" w:cs="Times New Roman"/>
          <w:color w:val="000000" w:themeColor="text1"/>
          <w:sz w:val="24"/>
          <w:szCs w:val="24"/>
          <w:lang w:val="en-US"/>
        </w:rPr>
        <w:t xml:space="preserve">-day period. </w:t>
      </w:r>
      <w:r w:rsidR="0095160D" w:rsidRPr="00D31313">
        <w:rPr>
          <w:rFonts w:ascii="Times New Roman" w:hAnsi="Times New Roman" w:cs="Times New Roman"/>
          <w:color w:val="000000" w:themeColor="text1"/>
          <w:sz w:val="24"/>
          <w:szCs w:val="24"/>
          <w:lang w:val="en-US"/>
        </w:rPr>
        <w:t>The table below details the initial transactions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3075"/>
      </w:tblGrid>
      <w:tr w:rsidR="00F21B27" w:rsidRPr="00D31313" w14:paraId="6EF043FC" w14:textId="77777777" w:rsidTr="00E80D2A">
        <w:trPr>
          <w:trHeight w:val="210"/>
        </w:trPr>
        <w:tc>
          <w:tcPr>
            <w:tcW w:w="6870" w:type="dxa"/>
            <w:gridSpan w:val="2"/>
          </w:tcPr>
          <w:p w14:paraId="0A36AF50" w14:textId="7F8CEE3B" w:rsidR="00E80D2A" w:rsidRPr="00D31313" w:rsidRDefault="00E80D2A" w:rsidP="00F21B27">
            <w:pPr>
              <w:spacing w:line="480" w:lineRule="auto"/>
              <w:jc w:val="center"/>
              <w:rPr>
                <w:rFonts w:ascii="Times New Roman" w:hAnsi="Times New Roman" w:cs="Times New Roman"/>
                <w:b/>
                <w:bCs/>
                <w:color w:val="000000" w:themeColor="text1"/>
                <w:sz w:val="24"/>
                <w:szCs w:val="24"/>
                <w:lang w:val="en-US"/>
              </w:rPr>
            </w:pPr>
            <w:r w:rsidRPr="00D31313">
              <w:rPr>
                <w:rFonts w:ascii="Times New Roman" w:hAnsi="Times New Roman" w:cs="Times New Roman"/>
                <w:b/>
                <w:bCs/>
                <w:color w:val="000000" w:themeColor="text1"/>
                <w:sz w:val="24"/>
                <w:szCs w:val="24"/>
                <w:lang w:val="en-US"/>
              </w:rPr>
              <w:t>Initial Transaction Details</w:t>
            </w:r>
          </w:p>
        </w:tc>
      </w:tr>
      <w:tr w:rsidR="00F21B27" w:rsidRPr="00D31313" w14:paraId="388B6718" w14:textId="5AF363B3" w:rsidTr="00E80D2A">
        <w:trPr>
          <w:trHeight w:val="211"/>
        </w:trPr>
        <w:tc>
          <w:tcPr>
            <w:tcW w:w="3795" w:type="dxa"/>
          </w:tcPr>
          <w:p w14:paraId="3FD70FF1" w14:textId="5DAA3944" w:rsidR="00E80D2A" w:rsidRPr="00D31313" w:rsidRDefault="00E80D2A"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Exchange Rate on 15/04/2021</w:t>
            </w:r>
          </w:p>
        </w:tc>
        <w:tc>
          <w:tcPr>
            <w:tcW w:w="3075" w:type="dxa"/>
          </w:tcPr>
          <w:p w14:paraId="4644A537" w14:textId="473A9B0B" w:rsidR="00E80D2A" w:rsidRPr="00D31313" w:rsidRDefault="001D7ABE"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108.7291</w:t>
            </w:r>
          </w:p>
        </w:tc>
      </w:tr>
      <w:tr w:rsidR="00F21B27" w:rsidRPr="00D31313" w14:paraId="05E7F54E" w14:textId="295365D9" w:rsidTr="00E80D2A">
        <w:trPr>
          <w:trHeight w:val="270"/>
        </w:trPr>
        <w:tc>
          <w:tcPr>
            <w:tcW w:w="3795" w:type="dxa"/>
          </w:tcPr>
          <w:p w14:paraId="279B2505" w14:textId="57BD73EC" w:rsidR="00E80D2A" w:rsidRPr="00D31313" w:rsidRDefault="001D7ABE"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Amount Bought</w:t>
            </w:r>
          </w:p>
        </w:tc>
        <w:tc>
          <w:tcPr>
            <w:tcW w:w="3075" w:type="dxa"/>
          </w:tcPr>
          <w:p w14:paraId="7F76EBB4" w14:textId="399B3AC6" w:rsidR="00E80D2A" w:rsidRPr="00D31313" w:rsidRDefault="001D7ABE"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$1,000,000</w:t>
            </w:r>
          </w:p>
        </w:tc>
      </w:tr>
      <w:tr w:rsidR="00F21B27" w:rsidRPr="00D31313" w14:paraId="6C2A3E82" w14:textId="67DAF48D" w:rsidTr="00E80D2A">
        <w:trPr>
          <w:trHeight w:val="211"/>
        </w:trPr>
        <w:tc>
          <w:tcPr>
            <w:tcW w:w="3795" w:type="dxa"/>
          </w:tcPr>
          <w:p w14:paraId="7DF2F191" w14:textId="1AA48C0D" w:rsidR="00E80D2A" w:rsidRPr="00D31313" w:rsidRDefault="001D7ABE"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Received Amount</w:t>
            </w:r>
          </w:p>
        </w:tc>
        <w:tc>
          <w:tcPr>
            <w:tcW w:w="3075" w:type="dxa"/>
          </w:tcPr>
          <w:p w14:paraId="55E4B4A4" w14:textId="00807FC5" w:rsidR="00E80D2A" w:rsidRPr="00D31313" w:rsidRDefault="001D7ABE"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¥108,729,100</w:t>
            </w:r>
          </w:p>
        </w:tc>
      </w:tr>
    </w:tbl>
    <w:p w14:paraId="5EF805B3" w14:textId="53F05139" w:rsidR="004E5A75" w:rsidRPr="00D31313" w:rsidRDefault="00BB0358" w:rsidP="00F21B27">
      <w:pPr>
        <w:spacing w:line="480" w:lineRule="auto"/>
        <w:rPr>
          <w:rFonts w:ascii="Times New Roman" w:hAnsi="Times New Roman" w:cs="Times New Roman"/>
          <w:b/>
          <w:bCs/>
          <w:i/>
          <w:iCs/>
          <w:color w:val="000000" w:themeColor="text1"/>
          <w:sz w:val="24"/>
          <w:szCs w:val="24"/>
          <w:lang w:val="en-US"/>
        </w:rPr>
      </w:pPr>
      <w:r w:rsidRPr="00D31313">
        <w:rPr>
          <w:rFonts w:ascii="Times New Roman" w:hAnsi="Times New Roman" w:cs="Times New Roman"/>
          <w:b/>
          <w:bCs/>
          <w:color w:val="000000" w:themeColor="text1"/>
          <w:sz w:val="24"/>
          <w:szCs w:val="24"/>
          <w:lang w:val="en-US"/>
        </w:rPr>
        <w:t>Table 1:</w:t>
      </w:r>
      <w:r w:rsidRPr="00D31313">
        <w:rPr>
          <w:rFonts w:ascii="Times New Roman" w:hAnsi="Times New Roman" w:cs="Times New Roman"/>
          <w:b/>
          <w:bCs/>
          <w:i/>
          <w:iCs/>
          <w:color w:val="000000" w:themeColor="text1"/>
          <w:sz w:val="24"/>
          <w:szCs w:val="24"/>
          <w:lang w:val="en-US"/>
        </w:rPr>
        <w:t xml:space="preserve"> Initial Transactions</w:t>
      </w:r>
    </w:p>
    <w:p w14:paraId="28976216" w14:textId="235AACCB" w:rsidR="004E5A75" w:rsidRPr="00D31313" w:rsidRDefault="008429CA"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noProof/>
          <w:color w:val="000000" w:themeColor="text1"/>
          <w:sz w:val="24"/>
          <w:szCs w:val="24"/>
          <w:lang w:val="en-US"/>
        </w:rPr>
        <w:drawing>
          <wp:inline distT="0" distB="0" distL="0" distR="0" wp14:anchorId="00E71CF1" wp14:editId="01215744">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BF8FD" w14:textId="39EB30FE" w:rsidR="00BB0358" w:rsidRPr="00D31313" w:rsidRDefault="00BC4C2F" w:rsidP="006E1A07">
      <w:pPr>
        <w:spacing w:line="480" w:lineRule="auto"/>
        <w:jc w:val="center"/>
        <w:rPr>
          <w:rFonts w:ascii="Times New Roman" w:hAnsi="Times New Roman" w:cs="Times New Roman"/>
          <w:b/>
          <w:bCs/>
          <w:i/>
          <w:iCs/>
          <w:color w:val="000000" w:themeColor="text1"/>
          <w:sz w:val="24"/>
          <w:szCs w:val="24"/>
          <w:lang w:val="en-US"/>
        </w:rPr>
      </w:pPr>
      <w:r w:rsidRPr="00D31313">
        <w:rPr>
          <w:rFonts w:ascii="Times New Roman" w:hAnsi="Times New Roman" w:cs="Times New Roman"/>
          <w:b/>
          <w:bCs/>
          <w:color w:val="000000" w:themeColor="text1"/>
          <w:sz w:val="24"/>
          <w:szCs w:val="24"/>
          <w:lang w:val="en-US"/>
        </w:rPr>
        <w:t>Graph 1</w:t>
      </w:r>
      <w:r w:rsidRPr="00D31313">
        <w:rPr>
          <w:rFonts w:ascii="Times New Roman" w:hAnsi="Times New Roman" w:cs="Times New Roman"/>
          <w:b/>
          <w:bCs/>
          <w:i/>
          <w:iCs/>
          <w:color w:val="000000" w:themeColor="text1"/>
          <w:sz w:val="24"/>
          <w:szCs w:val="24"/>
          <w:lang w:val="en-US"/>
        </w:rPr>
        <w:t xml:space="preserve">: </w:t>
      </w:r>
      <w:r w:rsidR="0092512A" w:rsidRPr="00D31313">
        <w:rPr>
          <w:rFonts w:ascii="Times New Roman" w:hAnsi="Times New Roman" w:cs="Times New Roman"/>
          <w:b/>
          <w:bCs/>
          <w:i/>
          <w:iCs/>
          <w:color w:val="000000" w:themeColor="text1"/>
          <w:sz w:val="24"/>
          <w:szCs w:val="24"/>
          <w:lang w:val="en-US"/>
        </w:rPr>
        <w:t>Exchange Rate</w:t>
      </w:r>
      <w:r w:rsidR="00DB363C" w:rsidRPr="00D31313">
        <w:rPr>
          <w:rFonts w:ascii="Times New Roman" w:hAnsi="Times New Roman" w:cs="Times New Roman"/>
          <w:b/>
          <w:bCs/>
          <w:i/>
          <w:iCs/>
          <w:color w:val="000000" w:themeColor="text1"/>
          <w:sz w:val="24"/>
          <w:szCs w:val="24"/>
          <w:lang w:val="en-US"/>
        </w:rPr>
        <w:t xml:space="preserve">s of </w:t>
      </w:r>
      <w:r w:rsidRPr="00D31313">
        <w:rPr>
          <w:rFonts w:ascii="Times New Roman" w:hAnsi="Times New Roman" w:cs="Times New Roman"/>
          <w:b/>
          <w:bCs/>
          <w:i/>
          <w:iCs/>
          <w:color w:val="000000" w:themeColor="text1"/>
          <w:sz w:val="24"/>
          <w:szCs w:val="24"/>
          <w:lang w:val="en-US"/>
        </w:rPr>
        <w:t>Japanese Yen to 1 US Dollar</w:t>
      </w:r>
    </w:p>
    <w:p w14:paraId="7F74B31B" w14:textId="72BA4019" w:rsidR="001C7D68" w:rsidRPr="00D31313" w:rsidRDefault="001C7D68"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 xml:space="preserve">ARR= </w:t>
      </w:r>
      <m:oMath>
        <m:d>
          <m:dPr>
            <m:ctrlPr>
              <w:rPr>
                <w:rFonts w:ascii="Cambria Math" w:eastAsia="Times New Roman" w:hAnsi="Cambria Math" w:cs="Times New Roman"/>
                <w:i/>
                <w:color w:val="000000" w:themeColor="text1"/>
                <w:sz w:val="24"/>
                <w:szCs w:val="24"/>
                <w:lang w:val="en-US"/>
              </w:rPr>
            </m:ctrlPr>
          </m:dPr>
          <m:e>
            <m:f>
              <m:fPr>
                <m:ctrlPr>
                  <w:rPr>
                    <w:rFonts w:ascii="Cambria Math" w:eastAsia="Times New Roman" w:hAnsi="Cambria Math" w:cs="Times New Roman"/>
                    <w:i/>
                    <w:color w:val="000000" w:themeColor="text1"/>
                    <w:sz w:val="24"/>
                    <w:szCs w:val="24"/>
                    <w:lang w:val="en-US"/>
                  </w:rPr>
                </m:ctrlPr>
              </m:fPr>
              <m:num>
                <m:sSub>
                  <m:sSubPr>
                    <m:ctrlPr>
                      <w:rPr>
                        <w:rFonts w:ascii="Cambria Math" w:eastAsia="Times New Roman" w:hAnsi="Cambria Math" w:cs="Times New Roman"/>
                        <w:i/>
                        <w:color w:val="000000" w:themeColor="text1"/>
                        <w:sz w:val="24"/>
                        <w:szCs w:val="24"/>
                        <w:lang w:val="en-US"/>
                      </w:rPr>
                    </m:ctrlPr>
                  </m:sSubPr>
                  <m:e>
                    <m:r>
                      <w:rPr>
                        <w:rFonts w:ascii="Cambria Math" w:eastAsia="Times New Roman" w:hAnsi="Cambria Math" w:cs="Times New Roman"/>
                        <w:color w:val="000000" w:themeColor="text1"/>
                        <w:sz w:val="24"/>
                        <w:szCs w:val="24"/>
                        <w:lang w:val="en-US"/>
                      </w:rPr>
                      <m:t>USD</m:t>
                    </m:r>
                  </m:e>
                  <m:sub>
                    <m:r>
                      <w:rPr>
                        <w:rFonts w:ascii="Cambria Math" w:eastAsia="Times New Roman" w:hAnsi="Cambria Math" w:cs="Times New Roman"/>
                        <w:color w:val="000000" w:themeColor="text1"/>
                        <w:sz w:val="24"/>
                        <w:szCs w:val="24"/>
                        <w:lang w:val="en-US"/>
                      </w:rPr>
                      <m:t xml:space="preserve">May </m:t>
                    </m:r>
                    <m:r>
                      <w:rPr>
                        <w:rFonts w:ascii="Cambria Math" w:eastAsia="Times New Roman" w:hAnsi="Cambria Math" w:cs="Times New Roman"/>
                        <w:color w:val="000000" w:themeColor="text1"/>
                        <w:sz w:val="24"/>
                        <w:szCs w:val="24"/>
                        <w:lang w:val="en-US"/>
                      </w:rPr>
                      <m:t>6</m:t>
                    </m:r>
                  </m:sub>
                </m:sSub>
                <m:r>
                  <w:rPr>
                    <w:rFonts w:ascii="Cambria Math" w:eastAsia="Times New Roman" w:hAnsi="Cambria Math" w:cs="Times New Roman"/>
                    <w:color w:val="000000" w:themeColor="text1"/>
                    <w:sz w:val="24"/>
                    <w:szCs w:val="24"/>
                    <w:lang w:val="en-US"/>
                  </w:rPr>
                  <m:t xml:space="preserve">-  </m:t>
                </m:r>
                <m:sSub>
                  <m:sSubPr>
                    <m:ctrlPr>
                      <w:rPr>
                        <w:rFonts w:ascii="Cambria Math" w:eastAsia="Times New Roman" w:hAnsi="Cambria Math" w:cs="Times New Roman"/>
                        <w:i/>
                        <w:color w:val="000000" w:themeColor="text1"/>
                        <w:sz w:val="24"/>
                        <w:szCs w:val="24"/>
                        <w:lang w:val="en-US"/>
                      </w:rPr>
                    </m:ctrlPr>
                  </m:sSubPr>
                  <m:e>
                    <m:r>
                      <w:rPr>
                        <w:rFonts w:ascii="Cambria Math" w:eastAsia="Times New Roman" w:hAnsi="Cambria Math" w:cs="Times New Roman"/>
                        <w:color w:val="000000" w:themeColor="text1"/>
                        <w:sz w:val="24"/>
                        <w:szCs w:val="24"/>
                        <w:lang w:val="en-US"/>
                      </w:rPr>
                      <m:t>USD</m:t>
                    </m:r>
                  </m:e>
                  <m:sub>
                    <m:r>
                      <w:rPr>
                        <w:rFonts w:ascii="Cambria Math" w:eastAsia="Times New Roman" w:hAnsi="Cambria Math" w:cs="Times New Roman"/>
                        <w:color w:val="000000" w:themeColor="text1"/>
                        <w:sz w:val="24"/>
                        <w:szCs w:val="24"/>
                        <w:lang w:val="en-US"/>
                      </w:rPr>
                      <m:t>April 15</m:t>
                    </m:r>
                  </m:sub>
                </m:sSub>
                <m:r>
                  <w:rPr>
                    <w:rFonts w:ascii="Cambria Math" w:eastAsia="Times New Roman" w:hAnsi="Cambria Math" w:cs="Times New Roman"/>
                    <w:color w:val="000000" w:themeColor="text1"/>
                    <w:sz w:val="24"/>
                    <w:szCs w:val="24"/>
                    <w:lang w:val="en-US"/>
                  </w:rPr>
                  <m:t xml:space="preserve"> </m:t>
                </m:r>
              </m:num>
              <m:den>
                <m:sSub>
                  <m:sSubPr>
                    <m:ctrlPr>
                      <w:rPr>
                        <w:rFonts w:ascii="Cambria Math" w:eastAsia="Times New Roman" w:hAnsi="Cambria Math" w:cs="Times New Roman"/>
                        <w:i/>
                        <w:color w:val="000000" w:themeColor="text1"/>
                        <w:sz w:val="24"/>
                        <w:szCs w:val="24"/>
                        <w:lang w:val="en-US"/>
                      </w:rPr>
                    </m:ctrlPr>
                  </m:sSubPr>
                  <m:e>
                    <m:r>
                      <w:rPr>
                        <w:rFonts w:ascii="Cambria Math" w:eastAsia="Times New Roman" w:hAnsi="Cambria Math" w:cs="Times New Roman"/>
                        <w:color w:val="000000" w:themeColor="text1"/>
                        <w:sz w:val="24"/>
                        <w:szCs w:val="24"/>
                        <w:lang w:val="en-US"/>
                      </w:rPr>
                      <m:t>USD</m:t>
                    </m:r>
                  </m:e>
                  <m:sub>
                    <m:r>
                      <w:rPr>
                        <w:rFonts w:ascii="Cambria Math" w:eastAsia="Times New Roman" w:hAnsi="Cambria Math" w:cs="Times New Roman"/>
                        <w:color w:val="000000" w:themeColor="text1"/>
                        <w:sz w:val="24"/>
                        <w:szCs w:val="24"/>
                        <w:lang w:val="en-US"/>
                      </w:rPr>
                      <m:t>April 15</m:t>
                    </m:r>
                  </m:sub>
                </m:sSub>
              </m:den>
            </m:f>
          </m:e>
        </m:d>
        <m:r>
          <w:rPr>
            <w:rFonts w:ascii="Cambria Math" w:eastAsia="Times New Roman" w:hAnsi="Cambria Math" w:cs="Times New Roman"/>
            <w:color w:val="000000" w:themeColor="text1"/>
            <w:sz w:val="24"/>
            <w:szCs w:val="24"/>
            <w:lang w:val="en-US"/>
          </w:rPr>
          <m:t xml:space="preserve">100* </m:t>
        </m:r>
        <m:f>
          <m:fPr>
            <m:ctrlPr>
              <w:rPr>
                <w:rFonts w:ascii="Cambria Math" w:eastAsia="Times New Roman" w:hAnsi="Cambria Math" w:cs="Times New Roman"/>
                <w:i/>
                <w:color w:val="000000" w:themeColor="text1"/>
                <w:sz w:val="24"/>
                <w:szCs w:val="24"/>
                <w:lang w:val="en-US"/>
              </w:rPr>
            </m:ctrlPr>
          </m:fPr>
          <m:num>
            <m:r>
              <w:rPr>
                <w:rFonts w:ascii="Cambria Math" w:eastAsia="Times New Roman" w:hAnsi="Cambria Math" w:cs="Times New Roman"/>
                <w:color w:val="000000" w:themeColor="text1"/>
                <w:sz w:val="24"/>
                <w:szCs w:val="24"/>
                <w:lang w:val="en-US"/>
              </w:rPr>
              <m:t>365</m:t>
            </m:r>
          </m:num>
          <m:den>
            <m:r>
              <w:rPr>
                <w:rFonts w:ascii="Cambria Math" w:eastAsia="Times New Roman" w:hAnsi="Cambria Math" w:cs="Times New Roman"/>
                <w:color w:val="000000" w:themeColor="text1"/>
                <w:sz w:val="24"/>
                <w:szCs w:val="24"/>
                <w:lang w:val="en-US"/>
              </w:rPr>
              <m:t>2</m:t>
            </m:r>
            <m:r>
              <w:rPr>
                <w:rFonts w:ascii="Cambria Math" w:eastAsia="Times New Roman" w:hAnsi="Cambria Math" w:cs="Times New Roman"/>
                <w:color w:val="000000" w:themeColor="text1"/>
                <w:sz w:val="24"/>
                <w:szCs w:val="24"/>
                <w:lang w:val="en-US"/>
              </w:rPr>
              <m:t>2</m:t>
            </m:r>
          </m:den>
        </m:f>
      </m:oMath>
    </w:p>
    <w:p w14:paraId="3B07FD95" w14:textId="1EA5F8C8" w:rsidR="001C7D68" w:rsidRPr="00D31313" w:rsidRDefault="001C7D68" w:rsidP="00F21B27">
      <w:pPr>
        <w:spacing w:line="480" w:lineRule="auto"/>
        <w:rPr>
          <w:rFonts w:ascii="Times New Roman" w:hAnsi="Times New Roman" w:cs="Times New Roman"/>
          <w:color w:val="000000" w:themeColor="text1"/>
          <w:sz w:val="24"/>
          <w:szCs w:val="24"/>
          <w:lang w:val="en-US"/>
        </w:rPr>
      </w:pPr>
      <m:oMathPara>
        <m:oMathParaPr>
          <m:jc m:val="left"/>
        </m:oMathParaPr>
        <m:oMath>
          <m:r>
            <w:rPr>
              <w:rFonts w:ascii="Cambria Math" w:eastAsia="Times New Roman" w:hAnsi="Cambria Math" w:cs="Times New Roman"/>
              <w:color w:val="000000" w:themeColor="text1"/>
              <w:sz w:val="24"/>
              <w:szCs w:val="24"/>
              <w:lang w:val="en-US"/>
            </w:rPr>
            <m:t>ARR=</m:t>
          </m:r>
          <m:d>
            <m:dPr>
              <m:ctrlPr>
                <w:rPr>
                  <w:rFonts w:ascii="Cambria Math" w:eastAsia="Times New Roman" w:hAnsi="Cambria Math" w:cs="Times New Roman"/>
                  <w:i/>
                  <w:color w:val="000000" w:themeColor="text1"/>
                  <w:sz w:val="24"/>
                  <w:szCs w:val="24"/>
                  <w:lang w:val="en-US"/>
                </w:rPr>
              </m:ctrlPr>
            </m:dPr>
            <m:e>
              <m:f>
                <m:fPr>
                  <m:ctrlPr>
                    <w:rPr>
                      <w:rFonts w:ascii="Cambria Math" w:eastAsia="Times New Roman" w:hAnsi="Cambria Math" w:cs="Times New Roman"/>
                      <w:i/>
                      <w:color w:val="000000" w:themeColor="text1"/>
                      <w:sz w:val="24"/>
                      <w:szCs w:val="24"/>
                      <w:lang w:val="en-US"/>
                    </w:rPr>
                  </m:ctrlPr>
                </m:fPr>
                <m:num>
                  <m:r>
                    <w:rPr>
                      <w:rFonts w:ascii="Cambria Math" w:eastAsia="Times New Roman" w:hAnsi="Cambria Math" w:cs="Times New Roman"/>
                      <w:color w:val="000000" w:themeColor="text1"/>
                      <w:sz w:val="24"/>
                      <w:szCs w:val="24"/>
                      <w:lang w:val="en-US"/>
                    </w:rPr>
                    <m:t>109.</m:t>
                  </m:r>
                  <m:r>
                    <w:rPr>
                      <w:rFonts w:ascii="Cambria Math" w:eastAsia="Times New Roman" w:hAnsi="Cambria Math" w:cs="Times New Roman"/>
                      <w:color w:val="000000" w:themeColor="text1"/>
                      <w:sz w:val="24"/>
                      <w:szCs w:val="24"/>
                      <w:lang w:val="en-US"/>
                    </w:rPr>
                    <m:t>0827</m:t>
                  </m:r>
                  <m:r>
                    <w:rPr>
                      <w:rFonts w:ascii="Cambria Math" w:eastAsia="Times New Roman" w:hAnsi="Cambria Math" w:cs="Times New Roman"/>
                      <w:color w:val="000000" w:themeColor="text1"/>
                      <w:sz w:val="24"/>
                      <w:szCs w:val="24"/>
                      <w:lang w:val="en-US"/>
                    </w:rPr>
                    <m:t>-108.7291</m:t>
                  </m:r>
                </m:num>
                <m:den>
                  <m:r>
                    <w:rPr>
                      <w:rFonts w:ascii="Cambria Math" w:eastAsia="Times New Roman" w:hAnsi="Cambria Math" w:cs="Times New Roman"/>
                      <w:color w:val="000000" w:themeColor="text1"/>
                      <w:sz w:val="24"/>
                      <w:szCs w:val="24"/>
                      <w:lang w:val="en-US"/>
                    </w:rPr>
                    <m:t>108.7291</m:t>
                  </m:r>
                </m:den>
              </m:f>
              <m:r>
                <w:rPr>
                  <w:rFonts w:ascii="Cambria Math" w:eastAsia="Times New Roman" w:hAnsi="Cambria Math" w:cs="Times New Roman"/>
                  <w:color w:val="000000" w:themeColor="text1"/>
                  <w:sz w:val="24"/>
                  <w:szCs w:val="24"/>
                  <w:lang w:val="en-US"/>
                </w:rPr>
                <m:t xml:space="preserve"> </m:t>
              </m:r>
            </m:e>
          </m:d>
          <m:r>
            <w:rPr>
              <w:rFonts w:ascii="Cambria Math" w:eastAsia="Times New Roman" w:hAnsi="Cambria Math" w:cs="Times New Roman"/>
              <w:color w:val="000000" w:themeColor="text1"/>
              <w:sz w:val="24"/>
              <w:szCs w:val="24"/>
              <w:lang w:val="en-US"/>
            </w:rPr>
            <m:t xml:space="preserve"> 100* </m:t>
          </m:r>
          <m:f>
            <m:fPr>
              <m:ctrlPr>
                <w:rPr>
                  <w:rFonts w:ascii="Cambria Math" w:eastAsia="Times New Roman" w:hAnsi="Cambria Math" w:cs="Times New Roman"/>
                  <w:i/>
                  <w:color w:val="000000" w:themeColor="text1"/>
                  <w:sz w:val="24"/>
                  <w:szCs w:val="24"/>
                  <w:lang w:val="en-US"/>
                </w:rPr>
              </m:ctrlPr>
            </m:fPr>
            <m:num>
              <m:r>
                <w:rPr>
                  <w:rFonts w:ascii="Cambria Math" w:eastAsia="Times New Roman" w:hAnsi="Cambria Math" w:cs="Times New Roman"/>
                  <w:color w:val="000000" w:themeColor="text1"/>
                  <w:sz w:val="24"/>
                  <w:szCs w:val="24"/>
                  <w:lang w:val="en-US"/>
                </w:rPr>
                <m:t>365</m:t>
              </m:r>
            </m:num>
            <m:den>
              <m:r>
                <w:rPr>
                  <w:rFonts w:ascii="Cambria Math" w:eastAsia="Times New Roman" w:hAnsi="Cambria Math" w:cs="Times New Roman"/>
                  <w:color w:val="000000" w:themeColor="text1"/>
                  <w:sz w:val="24"/>
                  <w:szCs w:val="24"/>
                  <w:lang w:val="en-US"/>
                </w:rPr>
                <m:t>2</m:t>
              </m:r>
              <m:r>
                <w:rPr>
                  <w:rFonts w:ascii="Cambria Math" w:eastAsia="Times New Roman" w:hAnsi="Cambria Math" w:cs="Times New Roman"/>
                  <w:color w:val="000000" w:themeColor="text1"/>
                  <w:sz w:val="24"/>
                  <w:szCs w:val="24"/>
                  <w:lang w:val="en-US"/>
                </w:rPr>
                <m:t>2</m:t>
              </m:r>
            </m:den>
          </m:f>
          <m:r>
            <w:rPr>
              <w:rFonts w:ascii="Cambria Math" w:eastAsia="Times New Roman" w:hAnsi="Cambria Math" w:cs="Times New Roman"/>
              <w:color w:val="000000" w:themeColor="text1"/>
              <w:sz w:val="24"/>
              <w:szCs w:val="24"/>
              <w:lang w:val="en-US"/>
            </w:rPr>
            <m:t xml:space="preserve"> =</m:t>
          </m:r>
          <m:r>
            <w:rPr>
              <w:rFonts w:ascii="Cambria Math" w:eastAsia="Times New Roman" w:hAnsi="Cambria Math" w:cs="Times New Roman"/>
              <w:color w:val="000000" w:themeColor="text1"/>
              <w:sz w:val="24"/>
              <w:szCs w:val="24"/>
              <w:lang w:val="en-US"/>
            </w:rPr>
            <m:t>5.</m:t>
          </m:r>
          <m:r>
            <w:rPr>
              <w:rFonts w:ascii="Cambria Math" w:eastAsia="Times New Roman" w:hAnsi="Cambria Math" w:cs="Times New Roman"/>
              <w:color w:val="000000" w:themeColor="text1"/>
              <w:sz w:val="24"/>
              <w:szCs w:val="24"/>
              <w:lang w:val="en-US"/>
            </w:rPr>
            <m:t>4</m:t>
          </m:r>
          <m:r>
            <w:rPr>
              <w:rFonts w:ascii="Cambria Math" w:eastAsia="Times New Roman" w:hAnsi="Cambria Math" w:cs="Times New Roman"/>
              <w:color w:val="000000" w:themeColor="text1"/>
              <w:sz w:val="24"/>
              <w:szCs w:val="24"/>
              <w:lang w:val="en-US"/>
            </w:rPr>
            <m:t>%</m:t>
          </m:r>
        </m:oMath>
      </m:oMathPara>
    </w:p>
    <w:p w14:paraId="79420F79" w14:textId="70128349" w:rsidR="00BC4C2F" w:rsidRPr="00D31313" w:rsidRDefault="00BC4C2F" w:rsidP="00F21B27">
      <w:pPr>
        <w:spacing w:line="480" w:lineRule="auto"/>
        <w:rPr>
          <w:rFonts w:ascii="Times New Roman" w:hAnsi="Times New Roman" w:cs="Times New Roman"/>
          <w:b/>
          <w:bCs/>
          <w:color w:val="000000" w:themeColor="text1"/>
          <w:sz w:val="24"/>
          <w:szCs w:val="24"/>
          <w:lang w:val="en-US"/>
        </w:rPr>
      </w:pPr>
    </w:p>
    <w:tbl>
      <w:tblPr>
        <w:tblStyle w:val="TableGrid"/>
        <w:tblW w:w="0" w:type="auto"/>
        <w:tblLook w:val="04A0" w:firstRow="1" w:lastRow="0" w:firstColumn="1" w:lastColumn="0" w:noHBand="0" w:noVBand="1"/>
      </w:tblPr>
      <w:tblGrid>
        <w:gridCol w:w="4815"/>
        <w:gridCol w:w="4201"/>
      </w:tblGrid>
      <w:tr w:rsidR="00F21B27" w:rsidRPr="00D31313" w14:paraId="26957462" w14:textId="77777777" w:rsidTr="00AC7AFC">
        <w:tc>
          <w:tcPr>
            <w:tcW w:w="4815" w:type="dxa"/>
          </w:tcPr>
          <w:p w14:paraId="12A249F1" w14:textId="0BE23D0A" w:rsidR="00AC7AFC" w:rsidRPr="00D31313" w:rsidRDefault="00AC7AFC"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USD on 15/04/2021</w:t>
            </w:r>
          </w:p>
        </w:tc>
        <w:tc>
          <w:tcPr>
            <w:tcW w:w="4201" w:type="dxa"/>
          </w:tcPr>
          <w:p w14:paraId="76FB6D1A" w14:textId="77F189B2" w:rsidR="00AC7AFC" w:rsidRPr="00D31313" w:rsidRDefault="0059546D"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w:t>
            </w:r>
            <w:r w:rsidR="0078061D" w:rsidRPr="00D31313">
              <w:rPr>
                <w:rFonts w:ascii="Times New Roman" w:hAnsi="Times New Roman" w:cs="Times New Roman"/>
                <w:color w:val="000000" w:themeColor="text1"/>
                <w:sz w:val="24"/>
                <w:szCs w:val="24"/>
                <w:lang w:val="en-US"/>
              </w:rPr>
              <w:t>1,000,000</w:t>
            </w:r>
          </w:p>
        </w:tc>
      </w:tr>
      <w:tr w:rsidR="00F21B27" w:rsidRPr="00D31313" w14:paraId="25924CD9" w14:textId="77777777" w:rsidTr="00AC7AFC">
        <w:tc>
          <w:tcPr>
            <w:tcW w:w="4815" w:type="dxa"/>
          </w:tcPr>
          <w:p w14:paraId="4E9EA9D8" w14:textId="04EA123A" w:rsidR="00AC7AFC" w:rsidRPr="00D31313" w:rsidRDefault="00AC7AFC"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JPY Purchased on 15/04/2021</w:t>
            </w:r>
          </w:p>
        </w:tc>
        <w:tc>
          <w:tcPr>
            <w:tcW w:w="4201" w:type="dxa"/>
          </w:tcPr>
          <w:p w14:paraId="37E69FEE" w14:textId="623CB92F" w:rsidR="00AC7AFC" w:rsidRPr="00D31313" w:rsidRDefault="008A1EC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w:t>
            </w:r>
            <w:r w:rsidR="0078061D" w:rsidRPr="00D31313">
              <w:rPr>
                <w:rFonts w:ascii="Times New Roman" w:hAnsi="Times New Roman" w:cs="Times New Roman"/>
                <w:color w:val="000000" w:themeColor="text1"/>
                <w:sz w:val="24"/>
                <w:szCs w:val="24"/>
                <w:lang w:val="en-US"/>
              </w:rPr>
              <w:t>108,729,100</w:t>
            </w:r>
          </w:p>
        </w:tc>
      </w:tr>
      <w:tr w:rsidR="00F21B27" w:rsidRPr="00D31313" w14:paraId="2E42F72F" w14:textId="77777777" w:rsidTr="00AC7AFC">
        <w:tc>
          <w:tcPr>
            <w:tcW w:w="4815" w:type="dxa"/>
          </w:tcPr>
          <w:p w14:paraId="789ADD12" w14:textId="354200B0" w:rsidR="00AC7AFC" w:rsidRPr="00D31313" w:rsidRDefault="00AC7AFC"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USD</w:t>
            </w:r>
            <w:r w:rsidR="0059546D" w:rsidRPr="00D31313">
              <w:rPr>
                <w:rFonts w:ascii="Times New Roman" w:hAnsi="Times New Roman" w:cs="Times New Roman"/>
                <w:color w:val="000000" w:themeColor="text1"/>
                <w:sz w:val="24"/>
                <w:szCs w:val="24"/>
                <w:lang w:val="en-US"/>
              </w:rPr>
              <w:t xml:space="preserve"> Received on 0</w:t>
            </w:r>
            <w:r w:rsidR="005D7C9D">
              <w:rPr>
                <w:rFonts w:ascii="Times New Roman" w:hAnsi="Times New Roman" w:cs="Times New Roman"/>
                <w:color w:val="000000" w:themeColor="text1"/>
                <w:sz w:val="24"/>
                <w:szCs w:val="24"/>
                <w:lang w:val="en-US"/>
              </w:rPr>
              <w:t>6</w:t>
            </w:r>
            <w:r w:rsidR="0059546D" w:rsidRPr="00D31313">
              <w:rPr>
                <w:rFonts w:ascii="Times New Roman" w:hAnsi="Times New Roman" w:cs="Times New Roman"/>
                <w:color w:val="000000" w:themeColor="text1"/>
                <w:sz w:val="24"/>
                <w:szCs w:val="24"/>
                <w:lang w:val="en-US"/>
              </w:rPr>
              <w:t>/05/2021</w:t>
            </w:r>
          </w:p>
        </w:tc>
        <w:tc>
          <w:tcPr>
            <w:tcW w:w="4201" w:type="dxa"/>
          </w:tcPr>
          <w:p w14:paraId="681FFD3D" w14:textId="1371823D" w:rsidR="00AC7AFC"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w:t>
            </w:r>
            <w:r w:rsidR="008A1ECF" w:rsidRPr="00D31313">
              <w:rPr>
                <w:rFonts w:ascii="Times New Roman" w:hAnsi="Times New Roman" w:cs="Times New Roman"/>
                <w:color w:val="000000" w:themeColor="text1"/>
                <w:sz w:val="24"/>
                <w:szCs w:val="24"/>
                <w:lang w:val="en-US"/>
              </w:rPr>
              <w:t>109,</w:t>
            </w:r>
            <w:r w:rsidR="005D7C9D">
              <w:rPr>
                <w:rFonts w:ascii="Times New Roman" w:hAnsi="Times New Roman" w:cs="Times New Roman"/>
                <w:color w:val="000000" w:themeColor="text1"/>
                <w:sz w:val="24"/>
                <w:szCs w:val="24"/>
                <w:lang w:val="en-US"/>
              </w:rPr>
              <w:t>082</w:t>
            </w:r>
            <w:r w:rsidR="008A1ECF" w:rsidRPr="00D31313">
              <w:rPr>
                <w:rFonts w:ascii="Times New Roman" w:hAnsi="Times New Roman" w:cs="Times New Roman"/>
                <w:color w:val="000000" w:themeColor="text1"/>
                <w:sz w:val="24"/>
                <w:szCs w:val="24"/>
                <w:lang w:val="en-US"/>
              </w:rPr>
              <w:t>,</w:t>
            </w:r>
            <w:r w:rsidR="005D7C9D">
              <w:rPr>
                <w:rFonts w:ascii="Times New Roman" w:hAnsi="Times New Roman" w:cs="Times New Roman"/>
                <w:color w:val="000000" w:themeColor="text1"/>
                <w:sz w:val="24"/>
                <w:szCs w:val="24"/>
                <w:lang w:val="en-US"/>
              </w:rPr>
              <w:t>7</w:t>
            </w:r>
            <w:r w:rsidR="008A1ECF" w:rsidRPr="00D31313">
              <w:rPr>
                <w:rFonts w:ascii="Times New Roman" w:hAnsi="Times New Roman" w:cs="Times New Roman"/>
                <w:color w:val="000000" w:themeColor="text1"/>
                <w:sz w:val="24"/>
                <w:szCs w:val="24"/>
                <w:lang w:val="en-US"/>
              </w:rPr>
              <w:t>00</w:t>
            </w:r>
          </w:p>
        </w:tc>
      </w:tr>
      <w:tr w:rsidR="00F21B27" w:rsidRPr="00D31313" w14:paraId="2F576A66" w14:textId="77777777" w:rsidTr="00AC7AFC">
        <w:tc>
          <w:tcPr>
            <w:tcW w:w="4815" w:type="dxa"/>
          </w:tcPr>
          <w:p w14:paraId="5A11A0BC" w14:textId="3342E1E2" w:rsidR="00AC7AFC" w:rsidRPr="00D31313" w:rsidRDefault="008A1EC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Profit (</w:t>
            </w:r>
            <w:r w:rsidR="0053418F" w:rsidRPr="00D31313">
              <w:rPr>
                <w:rFonts w:ascii="Times New Roman" w:hAnsi="Times New Roman" w:cs="Times New Roman"/>
                <w:color w:val="000000" w:themeColor="text1"/>
                <w:sz w:val="24"/>
                <w:szCs w:val="24"/>
                <w:lang w:val="en-US"/>
              </w:rPr>
              <w:t>JPY</w:t>
            </w:r>
            <w:r w:rsidRPr="00D31313">
              <w:rPr>
                <w:rFonts w:ascii="Times New Roman" w:hAnsi="Times New Roman" w:cs="Times New Roman"/>
                <w:color w:val="000000" w:themeColor="text1"/>
                <w:sz w:val="24"/>
                <w:szCs w:val="24"/>
                <w:lang w:val="en-US"/>
              </w:rPr>
              <w:t>)</w:t>
            </w:r>
          </w:p>
        </w:tc>
        <w:tc>
          <w:tcPr>
            <w:tcW w:w="4201" w:type="dxa"/>
          </w:tcPr>
          <w:p w14:paraId="71504441" w14:textId="3CCD4465" w:rsidR="00AC7AFC"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w:t>
            </w:r>
            <w:r w:rsidR="007372B8">
              <w:rPr>
                <w:rFonts w:ascii="Times New Roman" w:hAnsi="Times New Roman" w:cs="Times New Roman"/>
                <w:color w:val="000000" w:themeColor="text1"/>
                <w:sz w:val="24"/>
                <w:szCs w:val="24"/>
                <w:lang w:val="en-US"/>
              </w:rPr>
              <w:t>353</w:t>
            </w:r>
            <w:r w:rsidRPr="00D31313">
              <w:rPr>
                <w:rFonts w:ascii="Times New Roman" w:hAnsi="Times New Roman" w:cs="Times New Roman"/>
                <w:color w:val="000000" w:themeColor="text1"/>
                <w:sz w:val="24"/>
                <w:szCs w:val="24"/>
                <w:lang w:val="en-US"/>
              </w:rPr>
              <w:t>,</w:t>
            </w:r>
            <w:r w:rsidR="007372B8">
              <w:rPr>
                <w:rFonts w:ascii="Times New Roman" w:hAnsi="Times New Roman" w:cs="Times New Roman"/>
                <w:color w:val="000000" w:themeColor="text1"/>
                <w:sz w:val="24"/>
                <w:szCs w:val="24"/>
                <w:lang w:val="en-US"/>
              </w:rPr>
              <w:t>6</w:t>
            </w:r>
            <w:r w:rsidRPr="00D31313">
              <w:rPr>
                <w:rFonts w:ascii="Times New Roman" w:hAnsi="Times New Roman" w:cs="Times New Roman"/>
                <w:color w:val="000000" w:themeColor="text1"/>
                <w:sz w:val="24"/>
                <w:szCs w:val="24"/>
                <w:lang w:val="en-US"/>
              </w:rPr>
              <w:t>00</w:t>
            </w:r>
          </w:p>
        </w:tc>
      </w:tr>
      <w:tr w:rsidR="0053418F" w:rsidRPr="00D31313" w14:paraId="66A6978B" w14:textId="77777777" w:rsidTr="00AC7AFC">
        <w:tc>
          <w:tcPr>
            <w:tcW w:w="4815" w:type="dxa"/>
          </w:tcPr>
          <w:p w14:paraId="6AB214AD" w14:textId="48614F4C" w:rsidR="0053418F" w:rsidRPr="00D31313" w:rsidRDefault="00981925"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Profit (USD)</w:t>
            </w:r>
          </w:p>
        </w:tc>
        <w:tc>
          <w:tcPr>
            <w:tcW w:w="4201" w:type="dxa"/>
          </w:tcPr>
          <w:p w14:paraId="4CD01AF2" w14:textId="2D81FAF5" w:rsidR="0053418F"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w:t>
            </w:r>
            <w:r w:rsidR="009636C8">
              <w:rPr>
                <w:rFonts w:ascii="Times New Roman" w:hAnsi="Times New Roman" w:cs="Times New Roman"/>
                <w:color w:val="000000" w:themeColor="text1"/>
                <w:sz w:val="24"/>
                <w:szCs w:val="24"/>
                <w:lang w:val="en-US"/>
              </w:rPr>
              <w:t>3,241.58</w:t>
            </w:r>
          </w:p>
        </w:tc>
      </w:tr>
      <w:tr w:rsidR="00F21B27" w:rsidRPr="00D31313" w14:paraId="5AAC1041" w14:textId="77777777" w:rsidTr="00AC7AFC">
        <w:tc>
          <w:tcPr>
            <w:tcW w:w="4815" w:type="dxa"/>
          </w:tcPr>
          <w:p w14:paraId="1FF007E0" w14:textId="0694B725" w:rsidR="0053418F"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Days</w:t>
            </w:r>
          </w:p>
        </w:tc>
        <w:tc>
          <w:tcPr>
            <w:tcW w:w="4201" w:type="dxa"/>
          </w:tcPr>
          <w:p w14:paraId="566ACFA0" w14:textId="7264DCC9" w:rsidR="0053418F"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2</w:t>
            </w:r>
            <w:r w:rsidR="008C14E1">
              <w:rPr>
                <w:rFonts w:ascii="Times New Roman" w:hAnsi="Times New Roman" w:cs="Times New Roman"/>
                <w:color w:val="000000" w:themeColor="text1"/>
                <w:sz w:val="24"/>
                <w:szCs w:val="24"/>
                <w:lang w:val="en-US"/>
              </w:rPr>
              <w:t>2</w:t>
            </w:r>
          </w:p>
        </w:tc>
      </w:tr>
      <w:tr w:rsidR="0053418F" w:rsidRPr="00D31313" w14:paraId="6EC5EDE8" w14:textId="77777777" w:rsidTr="00AC7AFC">
        <w:tc>
          <w:tcPr>
            <w:tcW w:w="4815" w:type="dxa"/>
          </w:tcPr>
          <w:p w14:paraId="371112ED" w14:textId="4BFFE34D" w:rsidR="0053418F" w:rsidRPr="00D31313" w:rsidRDefault="0053418F" w:rsidP="00F21B27">
            <w:pPr>
              <w:spacing w:line="480" w:lineRule="auto"/>
              <w:rPr>
                <w:rFonts w:ascii="Times New Roman" w:hAnsi="Times New Roman" w:cs="Times New Roman"/>
                <w:color w:val="000000" w:themeColor="text1"/>
                <w:sz w:val="24"/>
                <w:szCs w:val="24"/>
                <w:lang w:val="en-US"/>
              </w:rPr>
            </w:pPr>
            <w:r w:rsidRPr="00D31313">
              <w:rPr>
                <w:rFonts w:ascii="Times New Roman" w:hAnsi="Times New Roman" w:cs="Times New Roman"/>
                <w:color w:val="000000" w:themeColor="text1"/>
                <w:sz w:val="24"/>
                <w:szCs w:val="24"/>
                <w:lang w:val="en-US"/>
              </w:rPr>
              <w:t>Annualized</w:t>
            </w:r>
            <w:r w:rsidR="00DB363C" w:rsidRPr="00D31313">
              <w:rPr>
                <w:rFonts w:ascii="Times New Roman" w:hAnsi="Times New Roman" w:cs="Times New Roman"/>
                <w:color w:val="000000" w:themeColor="text1"/>
                <w:sz w:val="24"/>
                <w:szCs w:val="24"/>
                <w:lang w:val="en-US"/>
              </w:rPr>
              <w:t xml:space="preserve"> Rate of</w:t>
            </w:r>
            <w:r w:rsidRPr="00D31313">
              <w:rPr>
                <w:rFonts w:ascii="Times New Roman" w:hAnsi="Times New Roman" w:cs="Times New Roman"/>
                <w:color w:val="000000" w:themeColor="text1"/>
                <w:sz w:val="24"/>
                <w:szCs w:val="24"/>
                <w:lang w:val="en-US"/>
              </w:rPr>
              <w:t xml:space="preserve"> Return</w:t>
            </w:r>
          </w:p>
        </w:tc>
        <w:tc>
          <w:tcPr>
            <w:tcW w:w="4201" w:type="dxa"/>
          </w:tcPr>
          <w:p w14:paraId="250FEB63" w14:textId="37F11208" w:rsidR="0053418F" w:rsidRPr="00D31313" w:rsidRDefault="008C14E1" w:rsidP="00F21B27">
            <w:pPr>
              <w:spacing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5.4</w:t>
            </w:r>
            <w:r w:rsidR="001C7D68" w:rsidRPr="00D31313">
              <w:rPr>
                <w:rFonts w:ascii="Times New Roman" w:hAnsi="Times New Roman" w:cs="Times New Roman"/>
                <w:color w:val="000000" w:themeColor="text1"/>
                <w:sz w:val="24"/>
                <w:szCs w:val="24"/>
                <w:lang w:val="en-US"/>
              </w:rPr>
              <w:t>%</w:t>
            </w:r>
          </w:p>
        </w:tc>
      </w:tr>
    </w:tbl>
    <w:p w14:paraId="79C663A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 </w:t>
      </w:r>
      <w:r w:rsidRPr="00BB0358">
        <w:rPr>
          <w:rFonts w:ascii="Times New Roman" w:eastAsia="Times New Roman" w:hAnsi="Times New Roman" w:cs="Times New Roman"/>
          <w:b/>
          <w:bCs/>
          <w:i/>
          <w:iCs/>
          <w:color w:val="000000" w:themeColor="text1"/>
          <w:sz w:val="24"/>
          <w:szCs w:val="24"/>
          <w:lang w:val="en-US" w:eastAsia="en-KE"/>
        </w:rPr>
        <w:t>Table 2: Annualized Rate of Return</w:t>
      </w:r>
    </w:p>
    <w:p w14:paraId="4AE911D9" w14:textId="31063538"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 xml:space="preserve">Calculation of gain: USD March </w:t>
      </w:r>
      <w:r w:rsidR="002A6B9A">
        <w:rPr>
          <w:rFonts w:ascii="Times New Roman" w:eastAsia="Times New Roman" w:hAnsi="Times New Roman" w:cs="Times New Roman"/>
          <w:color w:val="000000" w:themeColor="text1"/>
          <w:sz w:val="24"/>
          <w:szCs w:val="24"/>
          <w:lang w:val="en-US" w:eastAsia="en-KE"/>
        </w:rPr>
        <w:t>6</w:t>
      </w:r>
      <w:r w:rsidRPr="00BB0358">
        <w:rPr>
          <w:rFonts w:ascii="Times New Roman" w:eastAsia="Times New Roman" w:hAnsi="Times New Roman" w:cs="Times New Roman"/>
          <w:color w:val="000000" w:themeColor="text1"/>
          <w:sz w:val="24"/>
          <w:szCs w:val="24"/>
          <w:lang w:val="en-US" w:eastAsia="en-KE"/>
        </w:rPr>
        <w:t xml:space="preserve"> less USD April 15 </w:t>
      </w:r>
    </w:p>
    <w:p w14:paraId="6A5E9410" w14:textId="3B0FFB9F"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t>Tables 1 and 2 and Graph 1 </w:t>
      </w:r>
      <w:r w:rsidRPr="00BB0358">
        <w:rPr>
          <w:rFonts w:ascii="Times New Roman" w:eastAsia="Times New Roman" w:hAnsi="Times New Roman" w:cs="Times New Roman"/>
          <w:color w:val="000000" w:themeColor="text1"/>
          <w:sz w:val="24"/>
          <w:szCs w:val="24"/>
          <w:lang w:val="en-US" w:eastAsia="en-KE"/>
        </w:rPr>
        <w:t xml:space="preserve">above show the results of the currency that I speculated. According to the outcomes, my predictions were correct. The Japanese Yen appreciated compared to the dollar during the period April 15 to May 6, 2021. From the transactions, I gained an average amount of </w:t>
      </w:r>
      <w:r w:rsidR="00F46654" w:rsidRPr="00D31313">
        <w:rPr>
          <w:rFonts w:ascii="Times New Roman" w:hAnsi="Times New Roman" w:cs="Times New Roman"/>
          <w:color w:val="000000" w:themeColor="text1"/>
          <w:sz w:val="24"/>
          <w:szCs w:val="24"/>
          <w:lang w:val="en-US"/>
        </w:rPr>
        <w:t>$</w:t>
      </w:r>
      <w:r w:rsidR="00F46654">
        <w:rPr>
          <w:rFonts w:ascii="Times New Roman" w:hAnsi="Times New Roman" w:cs="Times New Roman"/>
          <w:color w:val="000000" w:themeColor="text1"/>
          <w:sz w:val="24"/>
          <w:szCs w:val="24"/>
          <w:lang w:val="en-US"/>
        </w:rPr>
        <w:t>3,241.58</w:t>
      </w:r>
      <w:r w:rsidR="00F46654" w:rsidRPr="00BB0358">
        <w:rPr>
          <w:rFonts w:ascii="Times New Roman" w:eastAsia="Times New Roman" w:hAnsi="Times New Roman" w:cs="Times New Roman"/>
          <w:color w:val="000000" w:themeColor="text1"/>
          <w:sz w:val="24"/>
          <w:szCs w:val="24"/>
          <w:lang w:val="en-US" w:eastAsia="en-KE"/>
        </w:rPr>
        <w:t xml:space="preserve"> </w:t>
      </w:r>
      <w:r w:rsidR="00F46654">
        <w:rPr>
          <w:rFonts w:ascii="Times New Roman" w:eastAsia="Times New Roman" w:hAnsi="Times New Roman" w:cs="Times New Roman"/>
          <w:color w:val="000000" w:themeColor="text1"/>
          <w:sz w:val="24"/>
          <w:szCs w:val="24"/>
          <w:lang w:val="en-US" w:eastAsia="en-KE"/>
        </w:rPr>
        <w:t>(</w:t>
      </w:r>
      <w:r w:rsidR="00F46654" w:rsidRPr="00D31313">
        <w:rPr>
          <w:rFonts w:ascii="Times New Roman" w:hAnsi="Times New Roman" w:cs="Times New Roman"/>
          <w:color w:val="000000" w:themeColor="text1"/>
          <w:sz w:val="24"/>
          <w:szCs w:val="24"/>
          <w:lang w:val="en-US"/>
        </w:rPr>
        <w:t>¥</w:t>
      </w:r>
      <w:r w:rsidR="00F46654">
        <w:rPr>
          <w:rFonts w:ascii="Times New Roman" w:hAnsi="Times New Roman" w:cs="Times New Roman"/>
          <w:color w:val="000000" w:themeColor="text1"/>
          <w:sz w:val="24"/>
          <w:szCs w:val="24"/>
          <w:lang w:val="en-US"/>
        </w:rPr>
        <w:t>353</w:t>
      </w:r>
      <w:r w:rsidR="00F46654" w:rsidRPr="00D31313">
        <w:rPr>
          <w:rFonts w:ascii="Times New Roman" w:hAnsi="Times New Roman" w:cs="Times New Roman"/>
          <w:color w:val="000000" w:themeColor="text1"/>
          <w:sz w:val="24"/>
          <w:szCs w:val="24"/>
          <w:lang w:val="en-US"/>
        </w:rPr>
        <w:t>,</w:t>
      </w:r>
      <w:r w:rsidR="00F46654">
        <w:rPr>
          <w:rFonts w:ascii="Times New Roman" w:hAnsi="Times New Roman" w:cs="Times New Roman"/>
          <w:color w:val="000000" w:themeColor="text1"/>
          <w:sz w:val="24"/>
          <w:szCs w:val="24"/>
          <w:lang w:val="en-US"/>
        </w:rPr>
        <w:t>6</w:t>
      </w:r>
      <w:r w:rsidR="00F46654" w:rsidRPr="00D31313">
        <w:rPr>
          <w:rFonts w:ascii="Times New Roman" w:hAnsi="Times New Roman" w:cs="Times New Roman"/>
          <w:color w:val="000000" w:themeColor="text1"/>
          <w:sz w:val="24"/>
          <w:szCs w:val="24"/>
          <w:lang w:val="en-US"/>
        </w:rPr>
        <w:t>00</w:t>
      </w:r>
      <w:r w:rsidRPr="00BB0358">
        <w:rPr>
          <w:rFonts w:ascii="Times New Roman" w:eastAsia="Times New Roman" w:hAnsi="Times New Roman" w:cs="Times New Roman"/>
          <w:color w:val="000000" w:themeColor="text1"/>
          <w:sz w:val="24"/>
          <w:szCs w:val="24"/>
          <w:lang w:val="en-US" w:eastAsia="en-KE"/>
        </w:rPr>
        <w:t xml:space="preserve">), which equates to an annual rate of return of </w:t>
      </w:r>
      <w:r w:rsidR="00791143">
        <w:rPr>
          <w:rFonts w:ascii="Times New Roman" w:eastAsia="Times New Roman" w:hAnsi="Times New Roman" w:cs="Times New Roman"/>
          <w:color w:val="000000" w:themeColor="text1"/>
          <w:sz w:val="24"/>
          <w:szCs w:val="24"/>
          <w:lang w:val="en-US" w:eastAsia="en-KE"/>
        </w:rPr>
        <w:t>5.4</w:t>
      </w:r>
      <w:r w:rsidRPr="00BB0358">
        <w:rPr>
          <w:rFonts w:ascii="Times New Roman" w:eastAsia="Times New Roman" w:hAnsi="Times New Roman" w:cs="Times New Roman"/>
          <w:color w:val="000000" w:themeColor="text1"/>
          <w:sz w:val="24"/>
          <w:szCs w:val="24"/>
          <w:lang w:val="en-US" w:eastAsia="en-KE"/>
        </w:rPr>
        <w:t>%. The depreciated at a certain period up to ¥107.8911 per USD on April 6, 2021. The highest rate within the period was ¥109.3446 per USD on April 30, 2021. </w:t>
      </w:r>
    </w:p>
    <w:p w14:paraId="496308AC"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t>Possible Reasons for Japanese Yen Fluctuation</w:t>
      </w:r>
    </w:p>
    <w:p w14:paraId="775086AC"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There are various potential causes of the Japanese Yen, which may include:</w:t>
      </w:r>
    </w:p>
    <w:p w14:paraId="674B6CAB" w14:textId="5347917E"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The effect of the coronavirus has increased the volatility in currency markets</w:t>
      </w:r>
      <w:r w:rsidR="0093053D" w:rsidRPr="00D31313">
        <w:rPr>
          <w:rFonts w:ascii="Times New Roman" w:eastAsia="Times New Roman" w:hAnsi="Times New Roman" w:cs="Times New Roman"/>
          <w:color w:val="000000" w:themeColor="text1"/>
          <w:sz w:val="24"/>
          <w:szCs w:val="24"/>
          <w:lang w:val="en-US" w:eastAsia="en-KE"/>
        </w:rPr>
        <w:t xml:space="preserve"> (</w:t>
      </w:r>
      <w:r w:rsidR="0093053D" w:rsidRPr="00BB0358">
        <w:rPr>
          <w:rFonts w:ascii="Times New Roman" w:eastAsia="Times New Roman" w:hAnsi="Times New Roman" w:cs="Times New Roman"/>
          <w:color w:val="000000" w:themeColor="text1"/>
          <w:sz w:val="24"/>
          <w:szCs w:val="24"/>
          <w:lang w:val="en-US" w:eastAsia="en-KE"/>
        </w:rPr>
        <w:t>Naimy</w:t>
      </w:r>
      <w:r w:rsidR="0093053D" w:rsidRPr="00D31313">
        <w:rPr>
          <w:rFonts w:ascii="Times New Roman" w:eastAsia="Times New Roman" w:hAnsi="Times New Roman" w:cs="Times New Roman"/>
          <w:color w:val="000000" w:themeColor="text1"/>
          <w:sz w:val="24"/>
          <w:szCs w:val="24"/>
          <w:lang w:val="en-US" w:eastAsia="en-KE"/>
        </w:rPr>
        <w:t xml:space="preserve"> et al., 2021)</w:t>
      </w:r>
      <w:r w:rsidRPr="00BB0358">
        <w:rPr>
          <w:rFonts w:ascii="Times New Roman" w:eastAsia="Times New Roman" w:hAnsi="Times New Roman" w:cs="Times New Roman"/>
          <w:color w:val="000000" w:themeColor="text1"/>
          <w:sz w:val="24"/>
          <w:szCs w:val="24"/>
          <w:lang w:val="en-US" w:eastAsia="en-KE"/>
        </w:rPr>
        <w:t>. The US was affected and hit more by the virus compared to Japan. The impact of the pandemic has made the USD fall at a higher rate compared to the Japanese Yen. However, with the continued period of covid-19 globally, the virus in the US is becoming under control. Control of the pandemic will increase the possibility of a good economy in the US, which will make the Federal Reserve increase the interest rates to support the US dollar. </w:t>
      </w:r>
    </w:p>
    <w:p w14:paraId="5394C372"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lastRenderedPageBreak/>
        <w:t>Japan has a strong base in industrialization. Japan is one of the leading countries in producing high technology-based products such as electronics, motor vehicles, chemicals and ships. Japan is also amongst the top fish exporting countries (covering up to 13% of total fish exports) globally. The exports from Japan have made the country have a stable economy since they are cheaper compared to goods manufactured in the U.S. Japan exports affect the Japanese Yen value. </w:t>
      </w:r>
    </w:p>
    <w:p w14:paraId="0D1AD8C4"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Politics in Japan have a great influence on the rise of the Japanese Yen. The implementation and adoption of economic policies by the elected government help the Yen stabilize or go up. These policies help manage fluctuations in the FOREX market.</w:t>
      </w:r>
    </w:p>
    <w:p w14:paraId="59FA7D57" w14:textId="77777777" w:rsidR="00BB0358" w:rsidRPr="00BB0358" w:rsidRDefault="00BB0358" w:rsidP="00F21B27">
      <w:pPr>
        <w:numPr>
          <w:ilvl w:val="0"/>
          <w:numId w:val="2"/>
        </w:num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The low unemployment rate in Japan has created an impact on the rise of the Japanese Yen. Higher rates of Job opportunities have increased the ability of the country to stabilize its economy hence raising the GDP.</w:t>
      </w:r>
    </w:p>
    <w:p w14:paraId="79A75DE6"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Currency fluctuations can lead to high profits or huge losses. Some methods can help minimize the severity of the currency fluctuations, such as currency hedging.</w:t>
      </w:r>
    </w:p>
    <w:p w14:paraId="24CA44F4"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t>Currency Hedging</w:t>
      </w:r>
    </w:p>
    <w:p w14:paraId="7EC41CFA" w14:textId="62D4617D"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Currency hedging helps control the risk of foreign exchange or currency. Currency hedging has various options such as spot contracts, foreign currency options and forward contracts</w:t>
      </w:r>
      <w:r w:rsidR="00724C46" w:rsidRPr="00D31313">
        <w:rPr>
          <w:rFonts w:ascii="Times New Roman" w:eastAsia="Times New Roman" w:hAnsi="Times New Roman" w:cs="Times New Roman"/>
          <w:color w:val="000000" w:themeColor="text1"/>
          <w:sz w:val="24"/>
          <w:szCs w:val="24"/>
          <w:lang w:val="en-US" w:eastAsia="en-KE"/>
        </w:rPr>
        <w:t xml:space="preserve"> (</w:t>
      </w:r>
      <w:r w:rsidR="00724C46" w:rsidRPr="00BB0358">
        <w:rPr>
          <w:rFonts w:ascii="Times New Roman" w:eastAsia="Times New Roman" w:hAnsi="Times New Roman" w:cs="Times New Roman"/>
          <w:color w:val="000000" w:themeColor="text1"/>
          <w:sz w:val="24"/>
          <w:szCs w:val="24"/>
          <w:lang w:val="en-US" w:eastAsia="en-KE"/>
        </w:rPr>
        <w:t>Du</w:t>
      </w:r>
      <w:r w:rsidR="00724C46" w:rsidRPr="00D31313">
        <w:rPr>
          <w:rFonts w:ascii="Times New Roman" w:eastAsia="Times New Roman" w:hAnsi="Times New Roman" w:cs="Times New Roman"/>
          <w:color w:val="000000" w:themeColor="text1"/>
          <w:sz w:val="24"/>
          <w:szCs w:val="24"/>
          <w:lang w:val="en-US" w:eastAsia="en-KE"/>
        </w:rPr>
        <w:t xml:space="preserve"> </w:t>
      </w:r>
      <w:r w:rsidR="00724C46" w:rsidRPr="00BB0358">
        <w:rPr>
          <w:rFonts w:ascii="Times New Roman" w:eastAsia="Times New Roman" w:hAnsi="Times New Roman" w:cs="Times New Roman"/>
          <w:color w:val="000000" w:themeColor="text1"/>
          <w:sz w:val="24"/>
          <w:szCs w:val="24"/>
          <w:lang w:val="en-US" w:eastAsia="en-KE"/>
        </w:rPr>
        <w:t>&amp; Pentecost</w:t>
      </w:r>
      <w:r w:rsidR="00724C46" w:rsidRPr="00D31313">
        <w:rPr>
          <w:rFonts w:ascii="Times New Roman" w:eastAsia="Times New Roman" w:hAnsi="Times New Roman" w:cs="Times New Roman"/>
          <w:color w:val="000000" w:themeColor="text1"/>
          <w:sz w:val="24"/>
          <w:szCs w:val="24"/>
          <w:lang w:val="en-US" w:eastAsia="en-KE"/>
        </w:rPr>
        <w:t>, 2021)</w:t>
      </w:r>
      <w:r w:rsidRPr="00BB0358">
        <w:rPr>
          <w:rFonts w:ascii="Times New Roman" w:eastAsia="Times New Roman" w:hAnsi="Times New Roman" w:cs="Times New Roman"/>
          <w:color w:val="000000" w:themeColor="text1"/>
          <w:sz w:val="24"/>
          <w:szCs w:val="24"/>
          <w:lang w:val="en-US" w:eastAsia="en-KE"/>
        </w:rPr>
        <w:t>. A forward contract is the most common method of hedging used and involves a price agreement made by two parties today to buy or sell a property in a specific future period. An option is a price agreement of choice made by two parties today to buy or sell a property in future periods. </w:t>
      </w:r>
    </w:p>
    <w:p w14:paraId="4498A8F1"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 xml:space="preserve">I assumed that as a U.S importer of cars from Japan. I used a forward contract to enter into an agreement with a bank and convert my $1,000,000 into JPY. I paid a fee of 1.5% as an upfront transaction fee to fix the exchange rate into the specific rate. At a forward contract </w:t>
      </w:r>
      <w:r w:rsidRPr="00BB0358">
        <w:rPr>
          <w:rFonts w:ascii="Times New Roman" w:eastAsia="Times New Roman" w:hAnsi="Times New Roman" w:cs="Times New Roman"/>
          <w:color w:val="000000" w:themeColor="text1"/>
          <w:sz w:val="24"/>
          <w:szCs w:val="24"/>
          <w:lang w:val="en-US" w:eastAsia="en-KE"/>
        </w:rPr>
        <w:lastRenderedPageBreak/>
        <w:t>cost of 1.5%, I will receive (0.015*$1,000,000) $985,000 meaning hedging will result in $15,000 less. Using the current rate of 1USD= 109.032 JPY, U.S interest rate of 0.25% and Japan interest rate of -0.1, it would imply that:</w:t>
      </w:r>
    </w:p>
    <w:p w14:paraId="2F9604C9"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1USD+ interest rate in U.S = 1 JPY + interest rate in Japan</w:t>
      </w:r>
    </w:p>
    <w:p w14:paraId="294267B1"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1USD + 0.0025= 109.032JPY+ (-0.001)</w:t>
      </w:r>
    </w:p>
    <w:p w14:paraId="7390AE84"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1.0025 USD= 109.031 JPY</w:t>
      </w:r>
    </w:p>
    <w:p w14:paraId="1083E72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1USD= 109.031/1.0025</w:t>
      </w:r>
    </w:p>
    <w:p w14:paraId="2F479DE8" w14:textId="77777777" w:rsidR="00BB0358" w:rsidRPr="00BB0358" w:rsidRDefault="00BB0358" w:rsidP="00F21B27">
      <w:pPr>
        <w:spacing w:after="0" w:line="480" w:lineRule="auto"/>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1USD= ¥108.7591</w:t>
      </w:r>
    </w:p>
    <w:p w14:paraId="6981A5D8" w14:textId="241D0250"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The forward exchange rate will be at 108.7591. This rate is lower compared to the current spot JPY rate (109.032). Using this rate, the car dealer in Japan will receive ¥108,759,100 in three months and this amount will not be affected by currency fluctuations within the three months. The car exporting company would have less profits if the foreign currency depreciated its value hence being at risk. A forward contract is essential because it helps fix future transaction exchanges, thus minimizing future losses</w:t>
      </w:r>
      <w:r w:rsidR="0093053D" w:rsidRPr="00D31313">
        <w:rPr>
          <w:rFonts w:ascii="Times New Roman" w:eastAsia="Times New Roman" w:hAnsi="Times New Roman" w:cs="Times New Roman"/>
          <w:color w:val="000000" w:themeColor="text1"/>
          <w:sz w:val="24"/>
          <w:szCs w:val="24"/>
          <w:lang w:val="en-US" w:eastAsia="en-KE"/>
        </w:rPr>
        <w:t xml:space="preserve"> (</w:t>
      </w:r>
      <w:r w:rsidR="0093053D" w:rsidRPr="00BB0358">
        <w:rPr>
          <w:rFonts w:ascii="Times New Roman" w:eastAsia="Times New Roman" w:hAnsi="Times New Roman" w:cs="Times New Roman"/>
          <w:color w:val="000000" w:themeColor="text1"/>
          <w:sz w:val="24"/>
          <w:szCs w:val="24"/>
          <w:lang w:val="en-US" w:eastAsia="en-KE"/>
        </w:rPr>
        <w:t>Fama</w:t>
      </w:r>
      <w:r w:rsidR="0093053D" w:rsidRPr="00D31313">
        <w:rPr>
          <w:rFonts w:ascii="Times New Roman" w:eastAsia="Times New Roman" w:hAnsi="Times New Roman" w:cs="Times New Roman"/>
          <w:color w:val="000000" w:themeColor="text1"/>
          <w:sz w:val="24"/>
          <w:szCs w:val="24"/>
          <w:lang w:val="en-US" w:eastAsia="en-KE"/>
        </w:rPr>
        <w:t>, 2021)</w:t>
      </w:r>
      <w:r w:rsidRPr="00BB0358">
        <w:rPr>
          <w:rFonts w:ascii="Times New Roman" w:eastAsia="Times New Roman" w:hAnsi="Times New Roman" w:cs="Times New Roman"/>
          <w:color w:val="000000" w:themeColor="text1"/>
          <w:sz w:val="24"/>
          <w:szCs w:val="24"/>
          <w:lang w:val="en-US" w:eastAsia="en-KE"/>
        </w:rPr>
        <w:t>. A forward contract is faced with limitations such as a high risk of default, inaccessibility to many people, and complex use. </w:t>
      </w:r>
    </w:p>
    <w:p w14:paraId="2DC44422" w14:textId="77777777" w:rsidR="00BB0358" w:rsidRPr="00BB0358" w:rsidRDefault="00BB0358" w:rsidP="00F21B27">
      <w:pPr>
        <w:spacing w:after="0" w:line="480" w:lineRule="auto"/>
        <w:jc w:val="center"/>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t>Conclusion</w:t>
      </w:r>
    </w:p>
    <w:p w14:paraId="5D769F12" w14:textId="77777777" w:rsidR="00BB0358" w:rsidRPr="00BB0358" w:rsidRDefault="00BB0358" w:rsidP="00F21B27">
      <w:pPr>
        <w:spacing w:after="0" w:line="480" w:lineRule="auto"/>
        <w:ind w:firstLine="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An increase in USD value can negatively affect the nation by decreasing the export of goods since the products have high costs in the foreign market. This effect affects the manufacturers in the home country by making their products expensive hence reduced sales. This effect can be minimized by an increase in import purchases since they are cheaper than local products. Foreign domestic investment can also be used since production in the foreign market would be more affordable than the home country when the US dollar is strong.</w:t>
      </w:r>
    </w:p>
    <w:p w14:paraId="274E893D" w14:textId="77777777" w:rsidR="0034035C" w:rsidRPr="00D31313" w:rsidRDefault="0034035C" w:rsidP="00F21B27">
      <w:pPr>
        <w:spacing w:after="0" w:line="480" w:lineRule="auto"/>
        <w:jc w:val="center"/>
        <w:rPr>
          <w:rFonts w:ascii="Times New Roman" w:eastAsia="Times New Roman" w:hAnsi="Times New Roman" w:cs="Times New Roman"/>
          <w:b/>
          <w:bCs/>
          <w:color w:val="000000" w:themeColor="text1"/>
          <w:sz w:val="24"/>
          <w:szCs w:val="24"/>
          <w:lang w:val="en-US" w:eastAsia="en-KE"/>
        </w:rPr>
      </w:pPr>
    </w:p>
    <w:p w14:paraId="7542B4C7" w14:textId="77777777" w:rsidR="006E1A07" w:rsidRPr="00D31313" w:rsidRDefault="006E1A07" w:rsidP="006E1A07">
      <w:pPr>
        <w:spacing w:after="0" w:line="480" w:lineRule="auto"/>
        <w:rPr>
          <w:rFonts w:ascii="Times New Roman" w:eastAsia="Times New Roman" w:hAnsi="Times New Roman" w:cs="Times New Roman"/>
          <w:b/>
          <w:bCs/>
          <w:color w:val="000000" w:themeColor="text1"/>
          <w:sz w:val="24"/>
          <w:szCs w:val="24"/>
          <w:lang w:val="en-US" w:eastAsia="en-KE"/>
        </w:rPr>
      </w:pPr>
    </w:p>
    <w:p w14:paraId="2AC163C3" w14:textId="0EC34BE1" w:rsidR="00BB0358" w:rsidRPr="00BB0358" w:rsidRDefault="00BB0358" w:rsidP="006E1A07">
      <w:pPr>
        <w:spacing w:after="0" w:line="480" w:lineRule="auto"/>
        <w:jc w:val="center"/>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b/>
          <w:bCs/>
          <w:color w:val="000000" w:themeColor="text1"/>
          <w:sz w:val="24"/>
          <w:szCs w:val="24"/>
          <w:lang w:val="en-US" w:eastAsia="en-KE"/>
        </w:rPr>
        <w:lastRenderedPageBreak/>
        <w:t>References</w:t>
      </w:r>
    </w:p>
    <w:p w14:paraId="6127FCFB"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Chaudhuri, R. R. (2018). Japan. In </w:t>
      </w:r>
      <w:r w:rsidRPr="00BB0358">
        <w:rPr>
          <w:rFonts w:ascii="Times New Roman" w:eastAsia="Times New Roman" w:hAnsi="Times New Roman" w:cs="Times New Roman"/>
          <w:i/>
          <w:iCs/>
          <w:color w:val="000000" w:themeColor="text1"/>
          <w:sz w:val="24"/>
          <w:szCs w:val="24"/>
          <w:lang w:val="en-US" w:eastAsia="en-KE"/>
        </w:rPr>
        <w:t>Central Bank Independence, Regulations, and Monetary Policy</w:t>
      </w:r>
      <w:r w:rsidRPr="00BB0358">
        <w:rPr>
          <w:rFonts w:ascii="Times New Roman" w:eastAsia="Times New Roman" w:hAnsi="Times New Roman" w:cs="Times New Roman"/>
          <w:color w:val="000000" w:themeColor="text1"/>
          <w:sz w:val="24"/>
          <w:szCs w:val="24"/>
          <w:lang w:val="en-US" w:eastAsia="en-KE"/>
        </w:rPr>
        <w:t> (pp. 255-277). Palgrave Macmillan, New York.</w:t>
      </w:r>
    </w:p>
    <w:p w14:paraId="562107BE"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Du, W., &amp; Pentecost, E. J. (2021). New “News” for the news model of the spot exchange rate. </w:t>
      </w:r>
      <w:r w:rsidRPr="00BB0358">
        <w:rPr>
          <w:rFonts w:ascii="Times New Roman" w:eastAsia="Times New Roman" w:hAnsi="Times New Roman" w:cs="Times New Roman"/>
          <w:i/>
          <w:iCs/>
          <w:color w:val="000000" w:themeColor="text1"/>
          <w:sz w:val="24"/>
          <w:szCs w:val="24"/>
          <w:lang w:val="en-US" w:eastAsia="en-KE"/>
        </w:rPr>
        <w:t>Economics Letters</w:t>
      </w:r>
      <w:r w:rsidRPr="00BB0358">
        <w:rPr>
          <w:rFonts w:ascii="Times New Roman" w:eastAsia="Times New Roman" w:hAnsi="Times New Roman" w:cs="Times New Roman"/>
          <w:color w:val="000000" w:themeColor="text1"/>
          <w:sz w:val="24"/>
          <w:szCs w:val="24"/>
          <w:lang w:val="en-US" w:eastAsia="en-KE"/>
        </w:rPr>
        <w:t>, </w:t>
      </w:r>
      <w:r w:rsidRPr="00BB0358">
        <w:rPr>
          <w:rFonts w:ascii="Times New Roman" w:eastAsia="Times New Roman" w:hAnsi="Times New Roman" w:cs="Times New Roman"/>
          <w:i/>
          <w:iCs/>
          <w:color w:val="000000" w:themeColor="text1"/>
          <w:sz w:val="24"/>
          <w:szCs w:val="24"/>
          <w:lang w:val="en-US" w:eastAsia="en-KE"/>
        </w:rPr>
        <w:t>200</w:t>
      </w:r>
      <w:r w:rsidRPr="00BB0358">
        <w:rPr>
          <w:rFonts w:ascii="Times New Roman" w:eastAsia="Times New Roman" w:hAnsi="Times New Roman" w:cs="Times New Roman"/>
          <w:color w:val="000000" w:themeColor="text1"/>
          <w:sz w:val="24"/>
          <w:szCs w:val="24"/>
          <w:lang w:val="en-US" w:eastAsia="en-KE"/>
        </w:rPr>
        <w:t>, 109770.</w:t>
      </w:r>
    </w:p>
    <w:p w14:paraId="4C32E6B4"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Fama, E. F. (2021). </w:t>
      </w:r>
      <w:r w:rsidRPr="00BB0358">
        <w:rPr>
          <w:rFonts w:ascii="Times New Roman" w:eastAsia="Times New Roman" w:hAnsi="Times New Roman" w:cs="Times New Roman"/>
          <w:i/>
          <w:iCs/>
          <w:color w:val="000000" w:themeColor="text1"/>
          <w:sz w:val="24"/>
          <w:szCs w:val="24"/>
          <w:lang w:val="en-US" w:eastAsia="en-KE"/>
        </w:rPr>
        <w:t>Forward and spot exchange rates</w:t>
      </w:r>
      <w:r w:rsidRPr="00BB0358">
        <w:rPr>
          <w:rFonts w:ascii="Times New Roman" w:eastAsia="Times New Roman" w:hAnsi="Times New Roman" w:cs="Times New Roman"/>
          <w:color w:val="000000" w:themeColor="text1"/>
          <w:sz w:val="24"/>
          <w:szCs w:val="24"/>
          <w:lang w:val="en-US" w:eastAsia="en-KE"/>
        </w:rPr>
        <w:t> (pp. 544-567). University of Chicago Press.</w:t>
      </w:r>
    </w:p>
    <w:p w14:paraId="57C969B2" w14:textId="77777777" w:rsidR="00BB0358" w:rsidRPr="00BB0358" w:rsidRDefault="00BB0358" w:rsidP="00F21B27">
      <w:pPr>
        <w:spacing w:after="0" w:line="480" w:lineRule="auto"/>
        <w:ind w:left="720" w:hanging="720"/>
        <w:rPr>
          <w:rFonts w:ascii="Times New Roman" w:eastAsia="Times New Roman" w:hAnsi="Times New Roman" w:cs="Times New Roman"/>
          <w:color w:val="000000" w:themeColor="text1"/>
          <w:sz w:val="24"/>
          <w:szCs w:val="24"/>
          <w:lang w:val="en-US" w:eastAsia="en-KE"/>
        </w:rPr>
      </w:pPr>
      <w:r w:rsidRPr="00BB0358">
        <w:rPr>
          <w:rFonts w:ascii="Times New Roman" w:eastAsia="Times New Roman" w:hAnsi="Times New Roman" w:cs="Times New Roman"/>
          <w:color w:val="000000" w:themeColor="text1"/>
          <w:sz w:val="24"/>
          <w:szCs w:val="24"/>
          <w:lang w:val="en-US" w:eastAsia="en-KE"/>
        </w:rPr>
        <w:t>Naimy, V., Haddad, O., Fernández-Avilés, G., &amp; El Khoury, R. (2021). The predictive capacity of GARCH-type models in measuring the volatility of crypto and world currencies. </w:t>
      </w:r>
      <w:r w:rsidRPr="00BB0358">
        <w:rPr>
          <w:rFonts w:ascii="Times New Roman" w:eastAsia="Times New Roman" w:hAnsi="Times New Roman" w:cs="Times New Roman"/>
          <w:i/>
          <w:iCs/>
          <w:color w:val="000000" w:themeColor="text1"/>
          <w:sz w:val="24"/>
          <w:szCs w:val="24"/>
          <w:lang w:val="en-US" w:eastAsia="en-KE"/>
        </w:rPr>
        <w:t>PloS one</w:t>
      </w:r>
      <w:r w:rsidRPr="00BB0358">
        <w:rPr>
          <w:rFonts w:ascii="Times New Roman" w:eastAsia="Times New Roman" w:hAnsi="Times New Roman" w:cs="Times New Roman"/>
          <w:color w:val="000000" w:themeColor="text1"/>
          <w:sz w:val="24"/>
          <w:szCs w:val="24"/>
          <w:lang w:val="en-US" w:eastAsia="en-KE"/>
        </w:rPr>
        <w:t>, </w:t>
      </w:r>
      <w:r w:rsidRPr="00BB0358">
        <w:rPr>
          <w:rFonts w:ascii="Times New Roman" w:eastAsia="Times New Roman" w:hAnsi="Times New Roman" w:cs="Times New Roman"/>
          <w:i/>
          <w:iCs/>
          <w:color w:val="000000" w:themeColor="text1"/>
          <w:sz w:val="24"/>
          <w:szCs w:val="24"/>
          <w:lang w:val="en-US" w:eastAsia="en-KE"/>
        </w:rPr>
        <w:t>16</w:t>
      </w:r>
      <w:r w:rsidRPr="00BB0358">
        <w:rPr>
          <w:rFonts w:ascii="Times New Roman" w:eastAsia="Times New Roman" w:hAnsi="Times New Roman" w:cs="Times New Roman"/>
          <w:color w:val="000000" w:themeColor="text1"/>
          <w:sz w:val="24"/>
          <w:szCs w:val="24"/>
          <w:lang w:val="en-US" w:eastAsia="en-KE"/>
        </w:rPr>
        <w:t>(1), e0245904.</w:t>
      </w:r>
    </w:p>
    <w:p w14:paraId="7F5FA7C4" w14:textId="02044B38" w:rsidR="00384816" w:rsidRPr="00D31313" w:rsidRDefault="00384816" w:rsidP="00F21B27">
      <w:pPr>
        <w:spacing w:line="480" w:lineRule="auto"/>
        <w:rPr>
          <w:rFonts w:ascii="Times New Roman" w:hAnsi="Times New Roman" w:cs="Times New Roman"/>
          <w:color w:val="000000" w:themeColor="text1"/>
          <w:sz w:val="24"/>
          <w:szCs w:val="24"/>
          <w:lang w:val="en-US"/>
        </w:rPr>
      </w:pPr>
    </w:p>
    <w:sectPr w:rsidR="00384816" w:rsidRPr="00D3131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9BF8" w14:textId="77777777" w:rsidR="00BC2C89" w:rsidRDefault="00BC2C89" w:rsidP="00087591">
      <w:pPr>
        <w:spacing w:after="0" w:line="240" w:lineRule="auto"/>
      </w:pPr>
      <w:r>
        <w:separator/>
      </w:r>
    </w:p>
  </w:endnote>
  <w:endnote w:type="continuationSeparator" w:id="0">
    <w:p w14:paraId="4C8B5064" w14:textId="77777777" w:rsidR="00BC2C89" w:rsidRDefault="00BC2C89" w:rsidP="0008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6B4B" w14:textId="77777777" w:rsidR="00BC2C89" w:rsidRDefault="00BC2C89" w:rsidP="00087591">
      <w:pPr>
        <w:spacing w:after="0" w:line="240" w:lineRule="auto"/>
      </w:pPr>
      <w:r>
        <w:separator/>
      </w:r>
    </w:p>
  </w:footnote>
  <w:footnote w:type="continuationSeparator" w:id="0">
    <w:p w14:paraId="7BE4CD73" w14:textId="77777777" w:rsidR="00BC2C89" w:rsidRDefault="00BC2C89" w:rsidP="0008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4538"/>
      <w:docPartObj>
        <w:docPartGallery w:val="Page Numbers (Top of Page)"/>
        <w:docPartUnique/>
      </w:docPartObj>
    </w:sdtPr>
    <w:sdtEndPr>
      <w:rPr>
        <w:noProof/>
      </w:rPr>
    </w:sdtEndPr>
    <w:sdtContent>
      <w:p w14:paraId="3978B427" w14:textId="3D803855" w:rsidR="00C75833" w:rsidRDefault="00C758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A1BF71" w14:textId="77777777" w:rsidR="00C75833" w:rsidRDefault="00C7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609"/>
    <w:multiLevelType w:val="multilevel"/>
    <w:tmpl w:val="941A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E665D"/>
    <w:multiLevelType w:val="hybridMultilevel"/>
    <w:tmpl w:val="750A71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24"/>
    <w:rsid w:val="0001385E"/>
    <w:rsid w:val="00041C88"/>
    <w:rsid w:val="000475B8"/>
    <w:rsid w:val="00050215"/>
    <w:rsid w:val="00062AB8"/>
    <w:rsid w:val="00083DAA"/>
    <w:rsid w:val="00086037"/>
    <w:rsid w:val="00087591"/>
    <w:rsid w:val="000A4966"/>
    <w:rsid w:val="000E597F"/>
    <w:rsid w:val="000E65CE"/>
    <w:rsid w:val="0010719E"/>
    <w:rsid w:val="001138FD"/>
    <w:rsid w:val="00121B23"/>
    <w:rsid w:val="00153330"/>
    <w:rsid w:val="00155302"/>
    <w:rsid w:val="001C7D68"/>
    <w:rsid w:val="001D7ABE"/>
    <w:rsid w:val="00245DCB"/>
    <w:rsid w:val="00254A01"/>
    <w:rsid w:val="00290505"/>
    <w:rsid w:val="002A6B9A"/>
    <w:rsid w:val="0034035C"/>
    <w:rsid w:val="00350F29"/>
    <w:rsid w:val="003761E5"/>
    <w:rsid w:val="00384816"/>
    <w:rsid w:val="003F0E34"/>
    <w:rsid w:val="00410390"/>
    <w:rsid w:val="0041262C"/>
    <w:rsid w:val="0043312B"/>
    <w:rsid w:val="0047468F"/>
    <w:rsid w:val="00485553"/>
    <w:rsid w:val="004C2265"/>
    <w:rsid w:val="004E4E0A"/>
    <w:rsid w:val="004E5A75"/>
    <w:rsid w:val="004F523D"/>
    <w:rsid w:val="00522CBC"/>
    <w:rsid w:val="00525F9B"/>
    <w:rsid w:val="0053418F"/>
    <w:rsid w:val="00550138"/>
    <w:rsid w:val="00593701"/>
    <w:rsid w:val="0059546D"/>
    <w:rsid w:val="005A4E8C"/>
    <w:rsid w:val="005B715B"/>
    <w:rsid w:val="005C1542"/>
    <w:rsid w:val="005C38D8"/>
    <w:rsid w:val="005D7C9D"/>
    <w:rsid w:val="005E60E5"/>
    <w:rsid w:val="006118C5"/>
    <w:rsid w:val="00624580"/>
    <w:rsid w:val="0062545F"/>
    <w:rsid w:val="00634212"/>
    <w:rsid w:val="00636260"/>
    <w:rsid w:val="006371B8"/>
    <w:rsid w:val="00642B8F"/>
    <w:rsid w:val="006E1A07"/>
    <w:rsid w:val="006E684B"/>
    <w:rsid w:val="006F6712"/>
    <w:rsid w:val="00702D4E"/>
    <w:rsid w:val="00724C46"/>
    <w:rsid w:val="007372B8"/>
    <w:rsid w:val="0078061D"/>
    <w:rsid w:val="00784119"/>
    <w:rsid w:val="00791143"/>
    <w:rsid w:val="007A2375"/>
    <w:rsid w:val="007B0008"/>
    <w:rsid w:val="007B37D8"/>
    <w:rsid w:val="007D549E"/>
    <w:rsid w:val="00827805"/>
    <w:rsid w:val="008429CA"/>
    <w:rsid w:val="00896A5D"/>
    <w:rsid w:val="008A120A"/>
    <w:rsid w:val="008A1ECF"/>
    <w:rsid w:val="008B03BE"/>
    <w:rsid w:val="008C1185"/>
    <w:rsid w:val="008C14E1"/>
    <w:rsid w:val="008E6A55"/>
    <w:rsid w:val="00913B65"/>
    <w:rsid w:val="0091533F"/>
    <w:rsid w:val="0092512A"/>
    <w:rsid w:val="0093053D"/>
    <w:rsid w:val="0094706A"/>
    <w:rsid w:val="0095160D"/>
    <w:rsid w:val="009636C8"/>
    <w:rsid w:val="009734C7"/>
    <w:rsid w:val="00981925"/>
    <w:rsid w:val="0099023F"/>
    <w:rsid w:val="009C68D9"/>
    <w:rsid w:val="009D00E2"/>
    <w:rsid w:val="00A62EBA"/>
    <w:rsid w:val="00AC6C0E"/>
    <w:rsid w:val="00AC7AFC"/>
    <w:rsid w:val="00AE4F14"/>
    <w:rsid w:val="00B01D23"/>
    <w:rsid w:val="00B05A33"/>
    <w:rsid w:val="00B20E79"/>
    <w:rsid w:val="00B72B12"/>
    <w:rsid w:val="00B8305F"/>
    <w:rsid w:val="00BB0358"/>
    <w:rsid w:val="00BC2C89"/>
    <w:rsid w:val="00BC4C2F"/>
    <w:rsid w:val="00BE0EF5"/>
    <w:rsid w:val="00BF02C4"/>
    <w:rsid w:val="00C553FB"/>
    <w:rsid w:val="00C669F6"/>
    <w:rsid w:val="00C75833"/>
    <w:rsid w:val="00CA03D9"/>
    <w:rsid w:val="00CA7981"/>
    <w:rsid w:val="00CC136D"/>
    <w:rsid w:val="00CD08BB"/>
    <w:rsid w:val="00D31313"/>
    <w:rsid w:val="00DA66B5"/>
    <w:rsid w:val="00DB363C"/>
    <w:rsid w:val="00DF2F29"/>
    <w:rsid w:val="00E277ED"/>
    <w:rsid w:val="00E60C22"/>
    <w:rsid w:val="00E623B6"/>
    <w:rsid w:val="00E80D2A"/>
    <w:rsid w:val="00E9060A"/>
    <w:rsid w:val="00EA50C1"/>
    <w:rsid w:val="00EC3403"/>
    <w:rsid w:val="00F21B27"/>
    <w:rsid w:val="00F309D8"/>
    <w:rsid w:val="00F46654"/>
    <w:rsid w:val="00F531FF"/>
    <w:rsid w:val="00F90C29"/>
    <w:rsid w:val="00F92D24"/>
    <w:rsid w:val="00FB236E"/>
    <w:rsid w:val="00FC1A3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3B8"/>
  <w15:chartTrackingRefBased/>
  <w15:docId w15:val="{9E124B46-533C-494D-A9EC-C9AC5D21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591"/>
  </w:style>
  <w:style w:type="table" w:styleId="TableGrid">
    <w:name w:val="Table Grid"/>
    <w:basedOn w:val="TableNormal"/>
    <w:uiPriority w:val="39"/>
    <w:rsid w:val="00AC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23D"/>
    <w:pPr>
      <w:ind w:left="720"/>
      <w:contextualSpacing/>
    </w:pPr>
  </w:style>
  <w:style w:type="character" w:styleId="PlaceholderText">
    <w:name w:val="Placeholder Text"/>
    <w:basedOn w:val="DefaultParagraphFont"/>
    <w:uiPriority w:val="99"/>
    <w:semiHidden/>
    <w:rsid w:val="00637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5635">
      <w:bodyDiv w:val="1"/>
      <w:marLeft w:val="0"/>
      <w:marRight w:val="0"/>
      <w:marTop w:val="0"/>
      <w:marBottom w:val="0"/>
      <w:divBdr>
        <w:top w:val="none" w:sz="0" w:space="0" w:color="auto"/>
        <w:left w:val="none" w:sz="0" w:space="0" w:color="auto"/>
        <w:bottom w:val="none" w:sz="0" w:space="0" w:color="auto"/>
        <w:right w:val="none" w:sz="0" w:space="0" w:color="auto"/>
      </w:divBdr>
    </w:div>
    <w:div w:id="1819683808">
      <w:bodyDiv w:val="1"/>
      <w:marLeft w:val="0"/>
      <w:marRight w:val="0"/>
      <w:marTop w:val="0"/>
      <w:marBottom w:val="0"/>
      <w:divBdr>
        <w:top w:val="none" w:sz="0" w:space="0" w:color="auto"/>
        <w:left w:val="none" w:sz="0" w:space="0" w:color="auto"/>
        <w:bottom w:val="none" w:sz="0" w:space="0" w:color="auto"/>
        <w:right w:val="none" w:sz="0" w:space="0" w:color="auto"/>
      </w:divBdr>
    </w:div>
    <w:div w:id="1861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lineChart>
        <c:grouping val="standard"/>
        <c:varyColors val="0"/>
        <c:ser>
          <c:idx val="0"/>
          <c:order val="0"/>
          <c:tx>
            <c:strRef>
              <c:f>Sheet1!$B$1</c:f>
              <c:strCache>
                <c:ptCount val="1"/>
                <c:pt idx="0">
                  <c:v>JPY to 1USD</c:v>
                </c:pt>
              </c:strCache>
            </c:strRef>
          </c:tx>
          <c:spPr>
            <a:ln w="28575" cap="rnd">
              <a:solidFill>
                <a:schemeClr val="accent1"/>
              </a:solidFill>
              <a:round/>
            </a:ln>
            <a:effectLst/>
          </c:spPr>
          <c:marker>
            <c:symbol val="none"/>
          </c:marker>
          <c:cat>
            <c:numRef>
              <c:f>Sheet1!$A$2:$A$23</c:f>
              <c:numCache>
                <c:formatCode>m/d/yyyy</c:formatCode>
                <c:ptCount val="22"/>
                <c:pt idx="0">
                  <c:v>44301</c:v>
                </c:pt>
                <c:pt idx="1">
                  <c:v>44302</c:v>
                </c:pt>
                <c:pt idx="2">
                  <c:v>44303</c:v>
                </c:pt>
                <c:pt idx="3">
                  <c:v>44304</c:v>
                </c:pt>
                <c:pt idx="4">
                  <c:v>44305</c:v>
                </c:pt>
                <c:pt idx="5">
                  <c:v>44306</c:v>
                </c:pt>
                <c:pt idx="6">
                  <c:v>44307</c:v>
                </c:pt>
                <c:pt idx="7">
                  <c:v>44308</c:v>
                </c:pt>
                <c:pt idx="8">
                  <c:v>44309</c:v>
                </c:pt>
                <c:pt idx="9">
                  <c:v>44310</c:v>
                </c:pt>
                <c:pt idx="10">
                  <c:v>44311</c:v>
                </c:pt>
                <c:pt idx="11">
                  <c:v>44312</c:v>
                </c:pt>
                <c:pt idx="12">
                  <c:v>44313</c:v>
                </c:pt>
                <c:pt idx="13">
                  <c:v>44314</c:v>
                </c:pt>
                <c:pt idx="14">
                  <c:v>44315</c:v>
                </c:pt>
                <c:pt idx="15">
                  <c:v>44316</c:v>
                </c:pt>
                <c:pt idx="16">
                  <c:v>44317</c:v>
                </c:pt>
                <c:pt idx="17">
                  <c:v>44318</c:v>
                </c:pt>
                <c:pt idx="18">
                  <c:v>44319</c:v>
                </c:pt>
                <c:pt idx="19">
                  <c:v>44320</c:v>
                </c:pt>
                <c:pt idx="20">
                  <c:v>44321</c:v>
                </c:pt>
                <c:pt idx="21">
                  <c:v>44322</c:v>
                </c:pt>
              </c:numCache>
            </c:numRef>
          </c:cat>
          <c:val>
            <c:numRef>
              <c:f>Sheet1!$B$2:$B$23</c:f>
              <c:numCache>
                <c:formatCode>General</c:formatCode>
                <c:ptCount val="22"/>
                <c:pt idx="0">
                  <c:v>108.7291</c:v>
                </c:pt>
                <c:pt idx="1">
                  <c:v>108.7867</c:v>
                </c:pt>
                <c:pt idx="2">
                  <c:v>108.7889</c:v>
                </c:pt>
                <c:pt idx="3">
                  <c:v>108.7591</c:v>
                </c:pt>
                <c:pt idx="4">
                  <c:v>108.1473</c:v>
                </c:pt>
                <c:pt idx="5">
                  <c:v>108.1063</c:v>
                </c:pt>
                <c:pt idx="6">
                  <c:v>108.0301</c:v>
                </c:pt>
                <c:pt idx="7">
                  <c:v>107.9817</c:v>
                </c:pt>
                <c:pt idx="8">
                  <c:v>107.9228</c:v>
                </c:pt>
                <c:pt idx="9">
                  <c:v>107.9019</c:v>
                </c:pt>
                <c:pt idx="10">
                  <c:v>107.89109999999999</c:v>
                </c:pt>
                <c:pt idx="11">
                  <c:v>108.1841</c:v>
                </c:pt>
                <c:pt idx="12">
                  <c:v>108.7467</c:v>
                </c:pt>
                <c:pt idx="13">
                  <c:v>108.53400000000001</c:v>
                </c:pt>
                <c:pt idx="14">
                  <c:v>108.91330000000001</c:v>
                </c:pt>
                <c:pt idx="15">
                  <c:v>109.3446</c:v>
                </c:pt>
                <c:pt idx="16">
                  <c:v>109.3009</c:v>
                </c:pt>
                <c:pt idx="17">
                  <c:v>109.3141</c:v>
                </c:pt>
                <c:pt idx="18">
                  <c:v>109.0693</c:v>
                </c:pt>
                <c:pt idx="19">
                  <c:v>109.3087</c:v>
                </c:pt>
                <c:pt idx="20">
                  <c:v>109.2136</c:v>
                </c:pt>
                <c:pt idx="21">
                  <c:v>109.0827</c:v>
                </c:pt>
              </c:numCache>
            </c:numRef>
          </c:val>
          <c:smooth val="0"/>
          <c:extLst>
            <c:ext xmlns:c16="http://schemas.microsoft.com/office/drawing/2014/chart" uri="{C3380CC4-5D6E-409C-BE32-E72D297353CC}">
              <c16:uniqueId val="{00000000-FBA9-4C44-8D44-FA763AF3D28F}"/>
            </c:ext>
          </c:extLst>
        </c:ser>
        <c:dLbls>
          <c:showLegendKey val="0"/>
          <c:showVal val="0"/>
          <c:showCatName val="0"/>
          <c:showSerName val="0"/>
          <c:showPercent val="0"/>
          <c:showBubbleSize val="0"/>
        </c:dLbls>
        <c:smooth val="0"/>
        <c:axId val="544322312"/>
        <c:axId val="544323952"/>
      </c:lineChart>
      <c:dateAx>
        <c:axId val="544322312"/>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544323952"/>
        <c:crosses val="autoZero"/>
        <c:auto val="1"/>
        <c:lblOffset val="100"/>
        <c:baseTimeUnit val="days"/>
      </c:dateAx>
      <c:valAx>
        <c:axId val="54432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544322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A08B-92C3-4164-BA39-65A9D6CA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80</cp:revision>
  <dcterms:created xsi:type="dcterms:W3CDTF">2021-05-06T11:45:00Z</dcterms:created>
  <dcterms:modified xsi:type="dcterms:W3CDTF">2021-05-08T05:19:00Z</dcterms:modified>
</cp:coreProperties>
</file>